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40"/>
      </w:pPr>
      <w:r>
        <w:t>Assignment and New Quiz Setup Checklist</w:t>
      </w:r>
    </w:p>
    <w:p>
      <w:pPr>
        <w:spacing w:after="160"/>
      </w:pPr>
      <w:r>
        <w:rPr>
          <w:color w:val="53565A"/>
          <w:sz w:val="22"/>
        </w:rPr>
        <w:t>Configure the activity, place it in the learning path, and verify the student experience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8F2F6"/>
            <w:vAlign w:val="center"/>
          </w:tcPr>
          <w:p>
            <w:r/>
            <w:r>
              <w:rPr>
                <w:rFonts w:ascii="Arial" w:hAnsi="Arial"/>
                <w:b/>
                <w:color w:val="000000"/>
                <w:sz w:val="18"/>
              </w:rPr>
              <w:t>FTCC NOTE: This resource follows the workshop checklist. It does not include Classic Quizzes or Canvas-integrated AI features.</w:t>
            </w:r>
          </w:p>
        </w:tc>
      </w:tr>
    </w:tbl>
    <w:p/>
    <w:p>
      <w:pPr>
        <w:pStyle w:val="Heading1"/>
        <w:spacing w:before="100" w:after="60"/>
      </w:pPr>
      <w:r>
        <w:t>Every graded activity</w:t>
      </w:r>
    </w:p>
    <w:p>
      <w:pPr>
        <w:spacing w:after="40"/>
      </w:pPr>
      <w:r>
        <w:rPr>
          <w:b/>
        </w:rPr>
        <w:t xml:space="preserve">☐ </w:t>
      </w:r>
      <w:r>
        <w:t>Use a descriptive student-facing title.</w:t>
      </w:r>
    </w:p>
    <w:p>
      <w:pPr>
        <w:spacing w:after="40"/>
      </w:pPr>
      <w:r>
        <w:rPr>
          <w:b/>
        </w:rPr>
        <w:t xml:space="preserve">☐ </w:t>
      </w:r>
      <w:r>
        <w:t>State what students will do, submit, and receive.</w:t>
      </w:r>
    </w:p>
    <w:p>
      <w:pPr>
        <w:spacing w:after="40"/>
      </w:pPr>
      <w:r>
        <w:rPr>
          <w:b/>
        </w:rPr>
        <w:t xml:space="preserve">☐ </w:t>
      </w:r>
      <w:r>
        <w:t>Set points or the intended grading method.</w:t>
      </w:r>
    </w:p>
    <w:p>
      <w:pPr>
        <w:spacing w:after="40"/>
      </w:pPr>
      <w:r>
        <w:rPr>
          <w:b/>
        </w:rPr>
        <w:t xml:space="preserve">☐ </w:t>
      </w:r>
      <w:r>
        <w:t>Place the activity in the correct assignment group.</w:t>
      </w:r>
    </w:p>
    <w:p>
      <w:pPr>
        <w:spacing w:after="40"/>
      </w:pPr>
      <w:r>
        <w:rPr>
          <w:b/>
        </w:rPr>
        <w:t xml:space="preserve">☐ </w:t>
      </w:r>
      <w:r>
        <w:t>Choose the correct submission type.</w:t>
      </w:r>
    </w:p>
    <w:p>
      <w:pPr>
        <w:spacing w:after="40"/>
      </w:pPr>
      <w:r>
        <w:rPr>
          <w:b/>
        </w:rPr>
        <w:t xml:space="preserve">☐ </w:t>
      </w:r>
      <w:r>
        <w:t>Set attempts when applicable.</w:t>
      </w:r>
    </w:p>
    <w:p>
      <w:pPr>
        <w:spacing w:after="40"/>
      </w:pPr>
      <w:r>
        <w:rPr>
          <w:b/>
        </w:rPr>
        <w:t xml:space="preserve">☐ </w:t>
      </w:r>
      <w:r>
        <w:t>Set the due date and availability dates intentionally.</w:t>
      </w:r>
    </w:p>
    <w:p>
      <w:pPr>
        <w:spacing w:after="40"/>
      </w:pPr>
      <w:r>
        <w:rPr>
          <w:b/>
        </w:rPr>
        <w:t xml:space="preserve">☐ </w:t>
      </w:r>
      <w:r>
        <w:t>Attach and review the rubric when used.</w:t>
      </w:r>
    </w:p>
    <w:p>
      <w:pPr>
        <w:spacing w:after="40"/>
      </w:pPr>
      <w:r>
        <w:rPr>
          <w:b/>
        </w:rPr>
        <w:t xml:space="preserve">☐ </w:t>
      </w:r>
      <w:r>
        <w:t>Place the activity in the correct module.</w:t>
      </w:r>
    </w:p>
    <w:p>
      <w:pPr>
        <w:spacing w:after="40"/>
      </w:pPr>
      <w:r>
        <w:rPr>
          <w:b/>
        </w:rPr>
        <w:t xml:space="preserve">☐ </w:t>
      </w:r>
      <w:r>
        <w:t>Publish the activity and its parent module.</w:t>
      </w:r>
    </w:p>
    <w:p>
      <w:pPr>
        <w:spacing w:after="40"/>
      </w:pPr>
      <w:r>
        <w:rPr>
          <w:b/>
        </w:rPr>
        <w:t xml:space="preserve">☐ </w:t>
      </w:r>
      <w:r>
        <w:t>Preview or test the student experience.</w:t>
      </w:r>
    </w:p>
    <w:p>
      <w:pPr>
        <w:spacing w:after="40"/>
      </w:pPr>
      <w:r>
        <w:rPr>
          <w:b/>
        </w:rPr>
        <w:t xml:space="preserve">☐ </w:t>
      </w:r>
      <w:r>
        <w:t>Open SpeedGrader and confirm grading and feedback options.</w:t>
      </w:r>
    </w:p>
    <w:p>
      <w:pPr>
        <w:pStyle w:val="Heading1"/>
        <w:spacing w:before="100" w:after="60"/>
      </w:pPr>
      <w:r>
        <w:t>New Quizzes only</w:t>
      </w:r>
    </w:p>
    <w:p>
      <w:pPr>
        <w:spacing w:after="40"/>
      </w:pPr>
      <w:r>
        <w:rPr>
          <w:b/>
        </w:rPr>
        <w:t xml:space="preserve">☐ </w:t>
      </w:r>
      <w:r>
        <w:t>Create the assessment with New Quizzes.</w:t>
      </w:r>
    </w:p>
    <w:p>
      <w:pPr>
        <w:spacing w:after="40"/>
      </w:pPr>
      <w:r>
        <w:rPr>
          <w:b/>
        </w:rPr>
        <w:t xml:space="preserve">☐ </w:t>
      </w:r>
      <w:r>
        <w:t>Review instructions and overall settings before opening Build.</w:t>
      </w:r>
    </w:p>
    <w:p>
      <w:pPr>
        <w:spacing w:after="40"/>
      </w:pPr>
      <w:r>
        <w:rPr>
          <w:b/>
        </w:rPr>
        <w:t xml:space="preserve">☐ </w:t>
      </w:r>
      <w:r>
        <w:t>Give every question a meaningful internal title.</w:t>
      </w:r>
    </w:p>
    <w:p>
      <w:pPr>
        <w:spacing w:after="40"/>
      </w:pPr>
      <w:r>
        <w:rPr>
          <w:b/>
        </w:rPr>
        <w:t xml:space="preserve">☐ </w:t>
      </w:r>
      <w:r>
        <w:t>Choose a question type that matches the intended student action.</w:t>
      </w:r>
    </w:p>
    <w:p>
      <w:pPr>
        <w:spacing w:after="40"/>
      </w:pPr>
      <w:r>
        <w:rPr>
          <w:b/>
        </w:rPr>
        <w:t xml:space="preserve">☐ </w:t>
      </w:r>
      <w:r>
        <w:t>Review points, answers, feedback, and partial-credit behavior.</w:t>
      </w:r>
    </w:p>
    <w:p>
      <w:pPr>
        <w:spacing w:after="40"/>
      </w:pPr>
      <w:r>
        <w:rPr>
          <w:b/>
        </w:rPr>
        <w:t xml:space="preserve">☐ </w:t>
      </w:r>
      <w:r>
        <w:t>Use item banks intentionally and verify sharing or ownership.</w:t>
      </w:r>
    </w:p>
    <w:p>
      <w:pPr>
        <w:spacing w:after="40"/>
      </w:pPr>
      <w:r>
        <w:rPr>
          <w:b/>
        </w:rPr>
        <w:t xml:space="preserve">☐ </w:t>
      </w:r>
      <w:r>
        <w:t>Preview the quiz before publishing.</w:t>
      </w:r>
    </w:p>
    <w:p>
      <w:pPr>
        <w:spacing w:after="40"/>
      </w:pPr>
      <w:r>
        <w:rPr>
          <w:b/>
        </w:rPr>
        <w:t xml:space="preserve">☐ </w:t>
      </w:r>
      <w:r>
        <w:t>Confirm the quiz appears in the intended module and assignment group.</w:t>
      </w:r>
    </w:p>
    <w:p>
      <w:pPr>
        <w:pStyle w:val="Heading2"/>
        <w:spacing w:before="100" w:after="60"/>
      </w:pPr>
      <w:r>
        <w:t>Due date versus access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000000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Use</w:t>
            </w:r>
          </w:p>
        </w:tc>
        <w:tc>
          <w:tcPr>
            <w:tcW w:type="dxa" w:w="5184"/>
            <w:shd w:fill="000000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8"/>
              </w:rPr>
              <w:t>Setting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8"/>
              </w:rPr>
              <w:t>Tell students when it is expected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8"/>
              </w:rPr>
              <w:t>Due date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8"/>
              </w:rPr>
              <w:t>Prevent early access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8"/>
              </w:rPr>
              <w:t>Available from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8"/>
              </w:rPr>
              <w:t>Close access or submissions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8"/>
              </w:rPr>
              <w:t>Until</w:t>
            </w:r>
          </w:p>
        </w:tc>
      </w:tr>
      <w:tr>
        <w:tc>
          <w:tcPr>
            <w:tcW w:type="dxa" w:w="5184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8"/>
              </w:rPr>
              <w:t>Control sequence</w:t>
            </w:r>
          </w:p>
        </w:tc>
        <w:tc>
          <w:tcPr>
            <w:tcW w:type="dxa" w:w="5184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8"/>
              </w:rPr>
              <w:t>Module requirement or prerequisite</w:t>
            </w:r>
          </w:p>
        </w:tc>
      </w:tr>
    </w:tbl>
    <w:p>
      <w:pPr>
        <w:pStyle w:val="Heading2"/>
        <w:spacing w:before="100" w:after="60"/>
      </w:pPr>
      <w:r>
        <w:t>Official resources</w:t>
      </w:r>
    </w:p>
    <w:p>
      <w:pPr>
        <w:spacing w:after="20"/>
      </w:pPr>
      <w:hyperlink r:id="rId11">
        <w:r>
          <w:rPr>
            <w:color w:val="0B5F82"/>
            <w:u w:val="single"/>
          </w:rPr>
          <w:t>New Quizzes</w:t>
        </w:r>
      </w:hyperlink>
      <w:r>
        <w:t xml:space="preserve"> (external)</w:t>
      </w:r>
    </w:p>
    <w:p>
      <w:pPr>
        <w:spacing w:after="20"/>
      </w:pPr>
      <w:hyperlink r:id="rId12">
        <w:r>
          <w:rPr>
            <w:color w:val="0B5F82"/>
            <w:u w:val="single"/>
          </w:rPr>
          <w:t>Assignment groups</w:t>
        </w:r>
      </w:hyperlink>
      <w:r>
        <w:t xml:space="preserve"> (external)</w:t>
      </w:r>
    </w:p>
    <w:p>
      <w:pPr>
        <w:spacing w:after="20"/>
      </w:pPr>
      <w:hyperlink r:id="rId13">
        <w:r>
          <w:rPr>
            <w:color w:val="0B5F82"/>
            <w:u w:val="single"/>
          </w:rPr>
          <w:t>Weighted grades</w:t>
        </w:r>
      </w:hyperlink>
      <w:r>
        <w:t xml:space="preserve"> (external)</w:t>
      </w:r>
    </w:p>
    <w:p>
      <w:pPr>
        <w:spacing w:after="20"/>
      </w:pPr>
      <w:hyperlink r:id="rId14">
        <w:r>
          <w:rPr>
            <w:color w:val="0B5F82"/>
            <w:u w:val="single"/>
          </w:rPr>
          <w:t>Student View</w:t>
        </w:r>
      </w:hyperlink>
      <w:r>
        <w:t xml:space="preserve"> (external)</w:t>
      </w:r>
    </w:p>
    <w:p>
      <w:pPr>
        <w:pStyle w:val="Heading2"/>
        <w:spacing w:before="100" w:after="60"/>
      </w:pPr>
      <w:r>
        <w:t>Guidde-ready recording script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  <w:shd w:fill="000000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Scene</w:t>
            </w:r>
          </w:p>
        </w:tc>
        <w:tc>
          <w:tcPr>
            <w:tcW w:type="dxa" w:w="3456"/>
            <w:shd w:fill="000000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On-screen action</w:t>
            </w:r>
          </w:p>
        </w:tc>
        <w:tc>
          <w:tcPr>
            <w:tcW w:type="dxa" w:w="3456"/>
            <w:shd w:fill="000000"/>
            <w:vAlign w:val="center"/>
          </w:tcPr>
          <w:p>
            <w:r/>
            <w:r>
              <w:rPr>
                <w:rFonts w:ascii="Arial" w:hAnsi="Arial"/>
                <w:b/>
                <w:color w:val="FFFFFF"/>
                <w:sz w:val="17"/>
              </w:rPr>
              <w:t>Voiceover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1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Open Assignments and create or edit an activity.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Check title, instructions, points, group, submission, attempts, and dates.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2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Open the rubric area.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Attach and review criteria before students submit.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3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For a New Quiz, open Build.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Review question titles, types, answers, points, and feedback.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4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Return to Modules.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Place and publish the activity in the student learning path.</w:t>
            </w:r>
          </w:p>
        </w:tc>
      </w:tr>
      <w:tr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/>
                <w:color w:val="0B5F82"/>
                <w:sz w:val="17"/>
              </w:rPr>
              <w:t>5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Preview and open SpeedGrader.</w:t>
            </w:r>
          </w:p>
        </w:tc>
        <w:tc>
          <w:tcPr>
            <w:tcW w:type="dxa" w:w="3456"/>
            <w:vAlign w:val="center"/>
          </w:tcPr>
          <w:p>
            <w:r/>
            <w:r>
              <w:rPr>
                <w:rFonts w:ascii="Arial" w:hAnsi="Arial"/>
                <w:b w:val="0"/>
                <w:color w:val="000000"/>
                <w:sz w:val="17"/>
              </w:rPr>
              <w:t>Verify both the student and grading experiences.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3565A"/>
        <w:sz w:val="16"/>
      </w:rPr>
      <w:t>Prepared for FTCC faculty | Angela Westmoreland, M.Ed. | New Quizzes only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53565A"/>
        <w:sz w:val="16"/>
      </w:rPr>
      <w:t>FTCC CANVAS COURSE LAUNCH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000000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B5F82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000000"/>
      <w:spacing w:val="5"/>
      <w:kern w:val="28"/>
      <w:sz w:val="4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community.canvaslms.com/t5/Video-Guide/New-Quizzes-Overview-Instructors/ta-p/384197" TargetMode="External"/><Relationship Id="rId12" Type="http://schemas.openxmlformats.org/officeDocument/2006/relationships/hyperlink" Target="https://community.canvaslms.com/t5/Instructor-Guide/How-do-I-add-an-assignment-group-in-a-course/ta-p/1154" TargetMode="External"/><Relationship Id="rId13" Type="http://schemas.openxmlformats.org/officeDocument/2006/relationships/hyperlink" Target="https://community.canvaslms.com/t5/Instructor-Guide/How-do-I-weight-the-final-course-grade-based-on-assignment-groups/ta-p/746" TargetMode="External"/><Relationship Id="rId14" Type="http://schemas.openxmlformats.org/officeDocument/2006/relationships/hyperlink" Target="https://community.canvaslms.com/t5/Instructor-Guide/How-do-I-view-a-course-as-a-test-student-using-Student-View/ta-p/1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