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40"/>
      </w:pPr>
      <w:r>
        <w:t>FTCC Course Readiness Review</w:t>
      </w:r>
    </w:p>
    <w:p>
      <w:pPr>
        <w:spacing w:after="160"/>
      </w:pPr>
      <w:r>
        <w:rPr>
          <w:color w:val="53565A"/>
          <w:sz w:val="22"/>
        </w:rPr>
        <w:t>A reusable final check before students enter the course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8F2F6"/>
            <w:vAlign w:val="center"/>
          </w:tcPr>
          <w:p>
            <w:r/>
            <w:r>
              <w:rPr>
                <w:rFonts w:ascii="Arial" w:hAnsi="Arial"/>
                <w:b/>
                <w:color w:val="000000"/>
                <w:sz w:val="18"/>
              </w:rPr>
              <w:t>FTCC NOTE: This resource follows the workshop checklist. It does not include Classic Quizzes or Canvas-integrated AI features.</w:t>
            </w:r>
          </w:p>
        </w:tc>
      </w:tr>
    </w:tbl>
    <w:p/>
    <w:p>
      <w:pPr>
        <w:pStyle w:val="Heading1"/>
        <w:spacing w:before="100" w:after="60"/>
      </w:pPr>
      <w:r>
        <w:t>Course identity and access</w:t>
      </w:r>
    </w:p>
    <w:p>
      <w:pPr>
        <w:spacing w:after="40"/>
      </w:pPr>
      <w:r>
        <w:rPr>
          <w:b/>
        </w:rPr>
        <w:t xml:space="preserve">☐ </w:t>
      </w:r>
      <w:r>
        <w:t>Correct course and term confirmed.</w:t>
      </w:r>
    </w:p>
    <w:p>
      <w:pPr>
        <w:spacing w:after="40"/>
      </w:pPr>
      <w:r>
        <w:rPr>
          <w:b/>
        </w:rPr>
        <w:t xml:space="preserve">☐ </w:t>
      </w:r>
      <w:r>
        <w:t>Course and section dates reviewed.</w:t>
      </w:r>
    </w:p>
    <w:p>
      <w:pPr>
        <w:spacing w:after="40"/>
      </w:pPr>
      <w:r>
        <w:rPr>
          <w:b/>
        </w:rPr>
        <w:t xml:space="preserve">☐ </w:t>
      </w:r>
      <w:r>
        <w:t>Visibility and participation settings reviewed.</w:t>
      </w:r>
    </w:p>
    <w:p>
      <w:pPr>
        <w:spacing w:after="40"/>
      </w:pPr>
      <w:r>
        <w:rPr>
          <w:b/>
        </w:rPr>
        <w:t xml:space="preserve">☐ </w:t>
      </w:r>
      <w:r>
        <w:t>Required Course Navigation order confirmed.</w:t>
      </w:r>
    </w:p>
    <w:p>
      <w:pPr>
        <w:spacing w:after="40"/>
      </w:pPr>
      <w:r>
        <w:rPr>
          <w:b/>
        </w:rPr>
        <w:t xml:space="preserve">☐ </w:t>
      </w:r>
      <w:r>
        <w:t>Unused navigation links disabled.</w:t>
      </w:r>
    </w:p>
    <w:p>
      <w:pPr>
        <w:pStyle w:val="Heading1"/>
        <w:spacing w:before="100" w:after="60"/>
      </w:pPr>
      <w:r>
        <w:t>Required FTCC starting structure</w:t>
      </w:r>
    </w:p>
    <w:p>
      <w:pPr>
        <w:spacing w:after="40"/>
      </w:pPr>
      <w:r>
        <w:rPr>
          <w:b/>
        </w:rPr>
        <w:t xml:space="preserve">☐ </w:t>
      </w:r>
      <w:r>
        <w:t>FTCC template banner present.</w:t>
      </w:r>
    </w:p>
    <w:p>
      <w:pPr>
        <w:spacing w:after="40"/>
      </w:pPr>
      <w:r>
        <w:rPr>
          <w:b/>
        </w:rPr>
        <w:t xml:space="preserve">☐ </w:t>
      </w:r>
      <w:r>
        <w:t>Home page selected and current.</w:t>
      </w:r>
    </w:p>
    <w:p>
      <w:pPr>
        <w:spacing w:after="40"/>
      </w:pPr>
      <w:r>
        <w:rPr>
          <w:b/>
        </w:rPr>
        <w:t xml:space="preserve">☐ </w:t>
      </w:r>
      <w:r>
        <w:t>“Welcome! Your Journey Begins Here!” is the first module.</w:t>
      </w:r>
    </w:p>
    <w:p>
      <w:pPr>
        <w:spacing w:after="40"/>
      </w:pPr>
      <w:r>
        <w:rPr>
          <w:b/>
        </w:rPr>
        <w:t xml:space="preserve">☐ </w:t>
      </w:r>
      <w:r>
        <w:t>Instructor welcome and About Your Instructor are current.</w:t>
      </w:r>
    </w:p>
    <w:p>
      <w:pPr>
        <w:spacing w:after="40"/>
      </w:pPr>
      <w:r>
        <w:rPr>
          <w:b/>
        </w:rPr>
        <w:t xml:space="preserve">☐ </w:t>
      </w:r>
      <w:r>
        <w:t>Introductory video included where required and accessible.</w:t>
      </w:r>
    </w:p>
    <w:p>
      <w:pPr>
        <w:spacing w:after="40"/>
      </w:pPr>
      <w:r>
        <w:rPr>
          <w:b/>
        </w:rPr>
        <w:t xml:space="preserve">☐ </w:t>
      </w:r>
      <w:r>
        <w:t>Simple Syllabus is visible and opens correctly.</w:t>
      </w:r>
    </w:p>
    <w:p>
      <w:pPr>
        <w:spacing w:after="40"/>
      </w:pPr>
      <w:r>
        <w:rPr>
          <w:b/>
        </w:rPr>
        <w:t xml:space="preserve">☐ </w:t>
      </w:r>
      <w:r>
        <w:t>Course Entry Quiz module and approved quiz are present.</w:t>
      </w:r>
    </w:p>
    <w:p>
      <w:pPr>
        <w:spacing w:after="40"/>
      </w:pPr>
      <w:r>
        <w:rPr>
          <w:b/>
        </w:rPr>
        <w:t xml:space="preserve">☐ </w:t>
      </w:r>
      <w:r>
        <w:t>Opening announcement is current and identifies where to begin.</w:t>
      </w:r>
    </w:p>
    <w:p>
      <w:pPr>
        <w:pStyle w:val="Heading1"/>
        <w:spacing w:before="100" w:after="60"/>
      </w:pPr>
      <w:r>
        <w:t>Learning path and grading</w:t>
      </w:r>
    </w:p>
    <w:p>
      <w:pPr>
        <w:spacing w:after="40"/>
      </w:pPr>
      <w:r>
        <w:rPr>
          <w:b/>
        </w:rPr>
        <w:t xml:space="preserve">☐ </w:t>
      </w:r>
      <w:r>
        <w:t>Eight-module structure used when applicable.</w:t>
      </w:r>
    </w:p>
    <w:p>
      <w:pPr>
        <w:spacing w:after="40"/>
      </w:pPr>
      <w:r>
        <w:rPr>
          <w:b/>
        </w:rPr>
        <w:t xml:space="preserve">☐ </w:t>
      </w:r>
      <w:r>
        <w:t>Each module includes an overview, learning content, activities/assessments, and wrap-up.</w:t>
      </w:r>
    </w:p>
    <w:p>
      <w:pPr>
        <w:spacing w:after="40"/>
      </w:pPr>
      <w:r>
        <w:rPr>
          <w:b/>
        </w:rPr>
        <w:t xml:space="preserve">☐ </w:t>
      </w:r>
      <w:r>
        <w:t>Requirements, prerequisites, locks, and dates are intentional.</w:t>
      </w:r>
    </w:p>
    <w:p>
      <w:pPr>
        <w:spacing w:after="40"/>
      </w:pPr>
      <w:r>
        <w:rPr>
          <w:b/>
        </w:rPr>
        <w:t xml:space="preserve">☐ </w:t>
      </w:r>
      <w:r>
        <w:t>Modules and required items are published.</w:t>
      </w:r>
    </w:p>
    <w:p>
      <w:pPr>
        <w:spacing w:after="40"/>
      </w:pPr>
      <w:r>
        <w:rPr>
          <w:b/>
        </w:rPr>
        <w:t xml:space="preserve">☐ </w:t>
      </w:r>
      <w:r>
        <w:t>Assignment groups and weights match the syllabus and total 100%.</w:t>
      </w:r>
    </w:p>
    <w:p>
      <w:pPr>
        <w:spacing w:after="40"/>
      </w:pPr>
      <w:r>
        <w:rPr>
          <w:b/>
        </w:rPr>
        <w:t xml:space="preserve">☐ </w:t>
      </w:r>
      <w:r>
        <w:t>Grading scheme matches the syllabus.</w:t>
      </w:r>
    </w:p>
    <w:p>
      <w:pPr>
        <w:spacing w:after="40"/>
      </w:pPr>
      <w:r>
        <w:rPr>
          <w:b/>
        </w:rPr>
        <w:t xml:space="preserve">☐ </w:t>
      </w:r>
      <w:r>
        <w:t>Missing, late, and grade-posting policies are reviewed.</w:t>
      </w:r>
    </w:p>
    <w:p>
      <w:pPr>
        <w:pStyle w:val="Heading1"/>
        <w:spacing w:before="100" w:after="60"/>
      </w:pPr>
      <w:r>
        <w:t>Student experience and final verification</w:t>
      </w:r>
    </w:p>
    <w:p>
      <w:pPr>
        <w:spacing w:after="40"/>
      </w:pPr>
      <w:r>
        <w:rPr>
          <w:b/>
        </w:rPr>
        <w:t xml:space="preserve">☐ </w:t>
      </w:r>
      <w:r>
        <w:t>Files and links open for students.</w:t>
      </w:r>
    </w:p>
    <w:p>
      <w:pPr>
        <w:spacing w:after="40"/>
      </w:pPr>
      <w:r>
        <w:rPr>
          <w:b/>
        </w:rPr>
        <w:t xml:space="preserve">☐ </w:t>
      </w:r>
      <w:r>
        <w:t>External tools include access, login, cost, and support directions.</w:t>
      </w:r>
    </w:p>
    <w:p>
      <w:pPr>
        <w:spacing w:after="40"/>
      </w:pPr>
      <w:r>
        <w:rPr>
          <w:b/>
        </w:rPr>
        <w:t xml:space="preserve">☐ </w:t>
      </w:r>
      <w:r>
        <w:t>Accessibility Checker reviewed on key pages.</w:t>
      </w:r>
    </w:p>
    <w:p>
      <w:pPr>
        <w:spacing w:after="40"/>
      </w:pPr>
      <w:r>
        <w:rPr>
          <w:b/>
        </w:rPr>
        <w:t xml:space="preserve">☐ </w:t>
      </w:r>
      <w:r>
        <w:t>Link Validator run and every result reviewed.</w:t>
      </w:r>
    </w:p>
    <w:p>
      <w:pPr>
        <w:spacing w:after="40"/>
      </w:pPr>
      <w:r>
        <w:rPr>
          <w:b/>
        </w:rPr>
        <w:t xml:space="preserve">☐ </w:t>
      </w:r>
      <w:r>
        <w:t>Student View completed from Home through the first required activity.</w:t>
      </w:r>
    </w:p>
    <w:p>
      <w:pPr>
        <w:spacing w:after="40"/>
      </w:pPr>
      <w:r>
        <w:rPr>
          <w:b/>
        </w:rPr>
        <w:t xml:space="preserve">☐ </w:t>
      </w:r>
      <w:r>
        <w:t>At least one assignment or New Quiz previewed and checked in SpeedGrader.</w:t>
      </w:r>
    </w:p>
    <w:p>
      <w:pPr>
        <w:spacing w:after="40"/>
      </w:pPr>
      <w:r>
        <w:rPr>
          <w:b/>
        </w:rPr>
        <w:t xml:space="preserve">☐ </w:t>
      </w:r>
      <w:r>
        <w:t>Unresolved issues documented with next action, support contact, and target date.</w:t>
      </w:r>
    </w:p>
    <w:p>
      <w:pPr>
        <w:pStyle w:val="Heading2"/>
        <w:spacing w:before="100" w:after="60"/>
      </w:pPr>
      <w:r>
        <w:t>Official resources</w:t>
      </w:r>
    </w:p>
    <w:p>
      <w:pPr>
        <w:spacing w:after="20"/>
      </w:pPr>
      <w:hyperlink r:id="rId11">
        <w:r>
          <w:rPr>
            <w:color w:val="0B5F82"/>
            <w:u w:val="single"/>
          </w:rPr>
          <w:t>Link Validator</w:t>
        </w:r>
      </w:hyperlink>
      <w:r>
        <w:t xml:space="preserve"> (external)</w:t>
      </w:r>
    </w:p>
    <w:p>
      <w:pPr>
        <w:spacing w:after="20"/>
      </w:pPr>
      <w:hyperlink r:id="rId12">
        <w:r>
          <w:rPr>
            <w:color w:val="0B5F82"/>
            <w:u w:val="single"/>
          </w:rPr>
          <w:t>Student View</w:t>
        </w:r>
      </w:hyperlink>
      <w:r>
        <w:t xml:space="preserve"> (external)</w:t>
      </w:r>
    </w:p>
    <w:p>
      <w:pPr>
        <w:spacing w:after="20"/>
      </w:pPr>
      <w:hyperlink r:id="rId13">
        <w:r>
          <w:rPr>
            <w:color w:val="0B5F82"/>
            <w:u w:val="single"/>
          </w:rPr>
          <w:t>Accessibility</w:t>
        </w:r>
      </w:hyperlink>
      <w:r>
        <w:t xml:space="preserve"> (external)</w:t>
      </w:r>
    </w:p>
    <w:p>
      <w:pPr>
        <w:spacing w:after="20"/>
      </w:pPr>
      <w:hyperlink r:id="rId14">
        <w:r>
          <w:rPr>
            <w:color w:val="0B5F82"/>
            <w:u w:val="single"/>
          </w:rPr>
          <w:t>Panopto</w:t>
        </w:r>
      </w:hyperlink>
      <w:r>
        <w:t xml:space="preserve"> (external)</w:t>
      </w:r>
    </w:p>
    <w:p>
      <w:pPr>
        <w:pStyle w:val="Heading2"/>
        <w:spacing w:before="100" w:after="60"/>
      </w:pPr>
      <w:r>
        <w:t>Guidde-ready recording script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  <w:shd w:fill="000000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Scene</w:t>
            </w:r>
          </w:p>
        </w:tc>
        <w:tc>
          <w:tcPr>
            <w:tcW w:type="dxa" w:w="3456"/>
            <w:shd w:fill="000000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On-screen action</w:t>
            </w:r>
          </w:p>
        </w:tc>
        <w:tc>
          <w:tcPr>
            <w:tcW w:type="dxa" w:w="3456"/>
            <w:shd w:fill="000000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Voiceover</w:t>
            </w:r>
          </w:p>
        </w:tc>
      </w:tr>
      <w:tr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/>
                <w:color w:val="0B5F82"/>
                <w:sz w:val="17"/>
              </w:rPr>
              <w:t>1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Begin on the Home page.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Follow the final readiness review in the same order students will enter the course.</w:t>
            </w:r>
          </w:p>
        </w:tc>
      </w:tr>
      <w:tr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/>
                <w:color w:val="0B5F82"/>
                <w:sz w:val="17"/>
              </w:rPr>
              <w:t>2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Open Course Navigation and Settings.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Check required links, dates, visibility, grading, and tools.</w:t>
            </w:r>
          </w:p>
        </w:tc>
      </w:tr>
      <w:tr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/>
                <w:color w:val="0B5F82"/>
                <w:sz w:val="17"/>
              </w:rPr>
              <w:t>3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Open Modules.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Verify the Welcome module, Course Entry Quiz, eight-module structure, publication, and sequence.</w:t>
            </w:r>
          </w:p>
        </w:tc>
      </w:tr>
      <w:tr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/>
                <w:color w:val="0B5F82"/>
                <w:sz w:val="17"/>
              </w:rPr>
              <w:t>4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Run Link Validator.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Review every result instead of assuming every warning is an error.</w:t>
            </w:r>
          </w:p>
        </w:tc>
      </w:tr>
      <w:tr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/>
                <w:color w:val="0B5F82"/>
                <w:sz w:val="17"/>
              </w:rPr>
              <w:t>5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Enter Student View.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Complete the final path through the first required activity.</w:t>
            </w:r>
          </w:p>
        </w:tc>
      </w:tr>
      <w:tr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/>
                <w:color w:val="0B5F82"/>
                <w:sz w:val="17"/>
              </w:rPr>
              <w:t>6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Document unresolved items.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Record the next action, support contact, and target completion date.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3565A"/>
        <w:sz w:val="16"/>
      </w:rPr>
      <w:t>Prepared for FTCC faculty | Angela Westmoreland, M.Ed. | New Quizzes only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color w:val="53565A"/>
        <w:sz w:val="16"/>
      </w:rPr>
      <w:t>FTCC CANVAS COURSE LAUNCH RESOURCE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000000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0B5F82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00000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000000"/>
      <w:spacing w:val="5"/>
      <w:kern w:val="28"/>
      <w:sz w:val="4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community.canvaslms.com/t5/Instructor-Guide/How-do-I-validate-links-in-a-course/ta-p/1001" TargetMode="External"/><Relationship Id="rId12" Type="http://schemas.openxmlformats.org/officeDocument/2006/relationships/hyperlink" Target="https://community.canvaslms.com/t5/Instructor-Guide/How-do-I-view-a-course-as-a-test-student-using-Student-View/ta-p/1122" TargetMode="External"/><Relationship Id="rId13" Type="http://schemas.openxmlformats.org/officeDocument/2006/relationships/hyperlink" Target="https://community.canvaslms.com/t5/Accessibility/ct-p/accessibility" TargetMode="External"/><Relationship Id="rId14" Type="http://schemas.openxmlformats.org/officeDocument/2006/relationships/hyperlink" Target="https://support.panopto.com/s/article/How-to-Use-Panopto-with-Canv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