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sz w:val="32"/>
        </w:rPr>
        <w:t>Student View: Click-Path and Verification Guide</w:t>
      </w:r>
    </w:p>
    <w:p>
      <w:pPr>
        <w:spacing w:after="60"/>
        <w:jc w:val="center"/>
      </w:pPr>
      <w:r>
        <w:rPr>
          <w:i/>
          <w:sz w:val="18"/>
        </w:rPr>
        <w:t>Confirm the course from the student perspective.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E7E7E7"/>
          </w:tcPr>
          <w:p>
            <w:pPr>
              <w:spacing w:after="0"/>
              <w:jc w:val="center"/>
            </w:pPr>
            <w:r>
              <w:rPr>
                <w:b/>
                <w:sz w:val="15"/>
              </w:rPr>
              <w:t>FTCC Canvas Course Launch Resource | New Quizzes only | No Canvas-integrated AI features</w:t>
            </w:r>
          </w:p>
        </w:tc>
      </w:tr>
    </w:tbl>
    <w:p>
      <w:pPr>
        <w:pStyle w:val="Heading1"/>
      </w:pPr>
      <w:r>
        <w:t>Click Path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F2F2F2"/>
          </w:tcPr>
          <w:p>
            <w:pPr>
              <w:spacing w:after="0"/>
              <w:jc w:val="center"/>
            </w:pPr>
            <w:r>
              <w:rPr>
                <w:b/>
                <w:sz w:val="18"/>
              </w:rPr>
              <w:t>Course Settings → Student View</w:t>
            </w:r>
          </w:p>
        </w:tc>
      </w:tr>
    </w:tbl>
    <w:p>
      <w:pPr>
        <w:pStyle w:val="Heading1"/>
      </w:pPr>
      <w:r>
        <w:t>Why This Matters</w:t>
      </w:r>
    </w:p>
    <w:p>
      <w:pPr>
        <w:spacing w:after="20"/>
      </w:pPr>
      <w:r>
        <w:t>Student View verifies navigation, publication, module flow, files, links, dates, and the starting path. It does not replace previewing a New Quiz or testing every external tool.</w:t>
      </w:r>
    </w:p>
    <w:p>
      <w:pPr>
        <w:pStyle w:val="Heading1"/>
      </w:pPr>
      <w:r>
        <w:t>Steps</w:t>
      </w:r>
    </w:p>
    <w:p>
      <w:pPr>
        <w:pStyle w:val="ListNumber"/>
        <w:spacing w:after="0" w:line="240" w:lineRule="auto"/>
      </w:pPr>
      <w:r>
        <w:t>Open the correct course and select Settings.</w:t>
      </w:r>
    </w:p>
    <w:p>
      <w:pPr>
        <w:pStyle w:val="ListNumber"/>
        <w:spacing w:after="0" w:line="240" w:lineRule="auto"/>
      </w:pPr>
      <w:r>
        <w:t>Select Student View and confirm the Test Student bar appears.</w:t>
      </w:r>
    </w:p>
    <w:p>
      <w:pPr>
        <w:pStyle w:val="ListNumber"/>
        <w:spacing w:after="0" w:line="240" w:lineRule="auto"/>
      </w:pPr>
      <w:r>
        <w:t>Begin on Home and follow only directions students can see.</w:t>
      </w:r>
    </w:p>
    <w:p>
      <w:pPr>
        <w:pStyle w:val="ListNumber"/>
        <w:spacing w:after="0" w:line="240" w:lineRule="auto"/>
      </w:pPr>
      <w:r>
        <w:t>Open the Welcome module, Simple Syllabus, Course Entry Quiz module, and Module 1.</w:t>
      </w:r>
    </w:p>
    <w:p>
      <w:pPr>
        <w:pStyle w:val="ListNumber"/>
        <w:spacing w:after="0" w:line="240" w:lineRule="auto"/>
      </w:pPr>
      <w:r>
        <w:t>Test links, files, buttons, Next/Previous navigation, and required items.</w:t>
      </w:r>
    </w:p>
    <w:p>
      <w:pPr>
        <w:pStyle w:val="ListNumber"/>
        <w:spacing w:after="0" w:line="240" w:lineRule="auto"/>
      </w:pPr>
      <w:r>
        <w:t>Leave Student View when finished.</w:t>
      </w:r>
    </w:p>
    <w:p>
      <w:pPr>
        <w:pStyle w:val="ListNumber"/>
        <w:spacing w:after="0" w:line="240" w:lineRule="auto"/>
      </w:pPr>
      <w:r>
        <w:t>Use Reset Student to erase Test Student progress and repeat the test.</w:t>
      </w:r>
    </w:p>
    <w:p>
      <w:pPr>
        <w:pStyle w:val="Heading1"/>
      </w:pPr>
      <w:r>
        <w:t>Verify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29"/>
        <w:gridCol w:w="5429"/>
      </w:tblGrid>
      <w:tr>
        <w:tc>
          <w:tcPr>
            <w:tcW w:type="dxa" w:w="5429"/>
          </w:tcPr>
          <w:p>
            <w:pPr>
              <w:spacing w:after="0" w:line="240" w:lineRule="auto"/>
            </w:pPr>
            <w:r>
              <w:t>☐ Required navigation order is correct.</w:t>
            </w:r>
          </w:p>
        </w:tc>
        <w:tc>
          <w:tcPr>
            <w:tcW w:type="dxa" w:w="5429"/>
          </w:tcPr>
          <w:p>
            <w:pPr>
              <w:spacing w:after="0" w:line="240" w:lineRule="auto"/>
            </w:pPr>
            <w:r>
              <w:t>☐ Home gives one clear starting direction.</w:t>
            </w:r>
          </w:p>
        </w:tc>
      </w:tr>
      <w:tr>
        <w:tc>
          <w:tcPr>
            <w:tcW w:type="dxa" w:w="5429"/>
          </w:tcPr>
          <w:p>
            <w:pPr>
              <w:spacing w:after="0" w:line="240" w:lineRule="auto"/>
            </w:pPr>
            <w:r>
              <w:t>☐ Required modules and items are published.</w:t>
            </w:r>
          </w:p>
        </w:tc>
        <w:tc>
          <w:tcPr>
            <w:tcW w:type="dxa" w:w="5429"/>
          </w:tcPr>
          <w:p>
            <w:pPr>
              <w:spacing w:after="0" w:line="240" w:lineRule="auto"/>
            </w:pPr>
            <w:r>
              <w:t>☐ Prerequisites and requirements work.</w:t>
            </w:r>
          </w:p>
        </w:tc>
      </w:tr>
      <w:tr>
        <w:tc>
          <w:tcPr>
            <w:tcW w:type="dxa" w:w="5429"/>
          </w:tcPr>
          <w:p>
            <w:pPr>
              <w:spacing w:after="0" w:line="240" w:lineRule="auto"/>
            </w:pPr>
            <w:r>
              <w:t>☐ Files and links open for students.</w:t>
            </w:r>
          </w:p>
        </w:tc>
        <w:tc>
          <w:tcPr>
            <w:tcW w:type="dxa" w:w="5429"/>
          </w:tcPr>
          <w:p>
            <w:pPr>
              <w:spacing w:after="0" w:line="240" w:lineRule="auto"/>
            </w:pPr>
            <w:r>
              <w:t>☐ Dates and grade visibility are correct.</w:t>
            </w:r>
          </w:p>
        </w:tc>
      </w:tr>
    </w:tbl>
    <w:p>
      <w:pPr>
        <w:pStyle w:val="Heading1"/>
      </w:pPr>
      <w:r>
        <w:t>Important Limits and Common Mistakes</w:t>
      </w:r>
    </w:p>
    <w:p>
      <w:pPr>
        <w:pStyle w:val="ListBullet"/>
        <w:spacing w:after="0"/>
      </w:pPr>
      <w:r>
        <w:t>Student View is one test account, not every student or section.</w:t>
      </w:r>
    </w:p>
    <w:p>
      <w:pPr>
        <w:pStyle w:val="ListBullet"/>
        <w:spacing w:after="0"/>
      </w:pPr>
      <w:r>
        <w:t>Some external tools do not fully support the Test Student.</w:t>
      </w:r>
    </w:p>
    <w:p>
      <w:pPr>
        <w:pStyle w:val="ListBullet"/>
        <w:spacing w:after="0"/>
      </w:pPr>
      <w:r>
        <w:t>Use New Quizzes Preview to inspect a New Quiz directly.</w:t>
      </w:r>
    </w:p>
    <w:p>
      <w:pPr>
        <w:pStyle w:val="ListBullet"/>
        <w:spacing w:after="0"/>
      </w:pPr>
      <w:r>
        <w:t>Reset Student affects only Test Student activity.</w:t>
      </w:r>
    </w:p>
    <w:p>
      <w:pPr>
        <w:pStyle w:val="Heading1"/>
      </w:pPr>
      <w:r>
        <w:t>Primary Resource</w:t>
      </w:r>
    </w:p>
    <w:p>
      <w:pPr>
        <w:spacing w:after="20"/>
      </w:pPr>
      <w:r>
        <w:t>Official Canvas Instructor Guide: community.canvaslms.com/t5/Instructor-Guide/tkb-p/Instructor</w:t>
      </w:r>
    </w:p>
    <w:p>
      <w:pPr>
        <w:spacing w:before="40" w:after="0"/>
      </w:pPr>
      <w:r>
        <w:rPr>
          <w:b/>
        </w:rPr>
        <w:t xml:space="preserve">Guidde-ready recording path: </w:t>
      </w:r>
      <w:r>
        <w:t>Course Settings → Student View → demonstrate the essential setup → show the final verification step.</w:t>
      </w:r>
    </w:p>
    <w:sectPr w:rsidR="00FC693F" w:rsidRPr="0006063C" w:rsidSect="00034616">
      <w:footerReference w:type="default" r:id="rId9"/>
      <w:pgSz w:w="12240" w:h="15840"/>
      <w:pgMar w:top="461" w:right="691" w:bottom="461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sz w:val="14"/>
      </w:rPr>
      <w:t>Created for FTCC faculty support by Angela Westmoreland, M.Ed.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20"/>
      <w:outlineLvl w:val="0"/>
    </w:pPr>
    <w:rPr>
      <w:rFonts w:asciiTheme="majorHAnsi" w:eastAsiaTheme="majorEastAsia" w:hAnsiTheme="majorHAnsi" w:cstheme="majorBidi" w:ascii="Arial" w:hAnsi="Arial"/>
      <w:b/>
      <w:bCs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20"/>
      <w:outlineLvl w:val="1"/>
    </w:pPr>
    <w:rPr>
      <w:rFonts w:asciiTheme="majorHAnsi" w:eastAsiaTheme="majorEastAsia" w:hAnsiTheme="majorHAnsi" w:cstheme="majorBidi" w:ascii="Arial" w:hAnsi="Arial"/>
      <w:b/>
      <w:bCs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/>
    </w:rPr>
  </w:style>
  <w:style w:type="table" w:default="1" w:styleId="TableNormal">
    <w:name w:val="Normal Table"/>
    <w:uiPriority w:val="99"/>
    <w:semiHidden/>
    <w:unhideWhenUsed/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