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Simple Syllabus: FTCC Setup and Verification</w:t>
      </w:r>
    </w:p>
    <w:p>
      <w:pPr>
        <w:spacing w:after="60"/>
        <w:jc w:val="center"/>
      </w:pPr>
      <w:r>
        <w:rPr>
          <w:i/>
          <w:sz w:val="18"/>
        </w:rPr>
        <w:t>Place the approved syllabus tool where students can find it.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7E7E7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Course Launch Resource | New Quizzes only | No Canvas-integrated AI features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2F2F2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Course Settings → Navigation → Simple Syllabus</w:t>
            </w:r>
          </w:p>
        </w:tc>
      </w:tr>
    </w:tbl>
    <w:p>
      <w:pPr>
        <w:pStyle w:val="Heading1"/>
      </w:pPr>
      <w:r>
        <w:t>Why This Matters</w:t>
      </w:r>
    </w:p>
    <w:p>
      <w:pPr>
        <w:spacing w:after="20"/>
      </w:pPr>
      <w:r>
        <w:t>FTCC requires Simple Syllabus in Course Navigation. Simple Syllabus and the built-in Canvas Syllabus link are not the same tool.</w:t>
      </w:r>
    </w:p>
    <w:p>
      <w:pPr>
        <w:pStyle w:val="Heading1"/>
      </w:pPr>
      <w:r>
        <w:t>Steps</w:t>
      </w:r>
    </w:p>
    <w:p>
      <w:pPr>
        <w:pStyle w:val="ListNumber"/>
        <w:spacing w:after="0" w:line="240" w:lineRule="auto"/>
      </w:pPr>
      <w:r>
        <w:t>Open Settings and select Navigation.</w:t>
      </w:r>
    </w:p>
    <w:p>
      <w:pPr>
        <w:pStyle w:val="ListNumber"/>
        <w:spacing w:after="0" w:line="240" w:lineRule="auto"/>
      </w:pPr>
      <w:r>
        <w:t>Move Simple Syllabus into the enabled area.</w:t>
      </w:r>
    </w:p>
    <w:p>
      <w:pPr>
        <w:pStyle w:val="ListNumber"/>
        <w:spacing w:after="0" w:line="240" w:lineRule="auto"/>
      </w:pPr>
      <w:r>
        <w:t>Place it in this order: Home, Announcements, Simple Syllabus, Modules, Grades.</w:t>
      </w:r>
    </w:p>
    <w:p>
      <w:pPr>
        <w:pStyle w:val="ListNumber"/>
        <w:spacing w:after="0" w:line="240" w:lineRule="auto"/>
      </w:pPr>
      <w:r>
        <w:t>Move the built-in Canvas Syllabus link and unused links into the disabled area.</w:t>
      </w:r>
    </w:p>
    <w:p>
      <w:pPr>
        <w:pStyle w:val="ListNumber"/>
        <w:spacing w:after="0" w:line="240" w:lineRule="auto"/>
      </w:pPr>
      <w:r>
        <w:t>Select Save.</w:t>
      </w:r>
    </w:p>
    <w:p>
      <w:pPr>
        <w:pStyle w:val="ListNumber"/>
        <w:spacing w:after="0" w:line="240" w:lineRule="auto"/>
      </w:pPr>
      <w:r>
        <w:t>Open Simple Syllabus and complete or review the required FTCC content.</w:t>
      </w:r>
    </w:p>
    <w:p>
      <w:pPr>
        <w:pStyle w:val="ListNumber"/>
        <w:spacing w:after="0" w:line="240" w:lineRule="auto"/>
      </w:pPr>
      <w:r>
        <w:t>Use Student View to confirm students can open the correct syllabus.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Simple Syllabus is enabled in the required position.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The Canvas Syllabus link is disabled.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The syllabus matches the correct course and term.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Required content and dates are current.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Students can open it in Student View.</w:t>
            </w:r>
          </w:p>
        </w:tc>
        <w:tc>
          <w:tcPr>
            <w:tcW w:type="dxa" w:w="5429"/>
          </w:tcPr>
          <w:p/>
        </w:tc>
      </w:tr>
    </w:tbl>
    <w:p>
      <w:pPr>
        <w:pStyle w:val="Heading1"/>
      </w:pPr>
      <w:r>
        <w:t>Important Limits and Common Mistakes</w:t>
      </w:r>
    </w:p>
    <w:p>
      <w:pPr>
        <w:pStyle w:val="ListBullet"/>
        <w:spacing w:after="0"/>
      </w:pPr>
      <w:r>
        <w:t>Do not copy another institution’s fields or approval workflow.</w:t>
      </w:r>
    </w:p>
    <w:p>
      <w:pPr>
        <w:pStyle w:val="ListBullet"/>
        <w:spacing w:after="0"/>
      </w:pPr>
      <w:r>
        <w:t>Enabling the link does not prove the syllabus is complete.</w:t>
      </w:r>
    </w:p>
    <w:p>
      <w:pPr>
        <w:pStyle w:val="ListBullet"/>
        <w:spacing w:after="0"/>
      </w:pPr>
      <w:r>
        <w:t>Use verified FTCC directions for completion and approval.</w:t>
      </w:r>
    </w:p>
    <w:p>
      <w:pPr>
        <w:pStyle w:val="Heading1"/>
      </w:pPr>
      <w:r>
        <w:t>Primary Resource</w:t>
      </w:r>
    </w:p>
    <w:p>
      <w:pPr>
        <w:spacing w:after="20"/>
      </w:pPr>
      <w:r>
        <w:t>FTCC-specific instructions pending confirmation for fields, workflow, and approvals.</w:t>
      </w:r>
    </w:p>
    <w:p>
      <w:pPr>
        <w:spacing w:before="40" w:after="0"/>
      </w:pPr>
      <w:r>
        <w:rPr>
          <w:b/>
        </w:rPr>
        <w:t xml:space="preserve">Guidde-ready recording path: </w:t>
      </w:r>
      <w:r>
        <w:t>Course Settings → Navigation → Simple Syllabus → demonstrate the essential setup → show the final verification step.</w:t>
      </w:r>
    </w:p>
    <w:sectPr w:rsidR="00FC693F" w:rsidRPr="0006063C" w:rsidSect="00034616">
      <w:footerReference w:type="default" r:id="rId9"/>
      <w:pgSz w:w="12240" w:h="15840"/>
      <w:pgMar w:top="461" w:right="691" w:bottom="461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