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rPr>
          <w:b/>
          <w:sz w:val="32"/>
        </w:rPr>
        <w:t>Assignment Groups and Weighted Grades</w:t>
      </w:r>
    </w:p>
    <w:p>
      <w:pPr>
        <w:spacing w:after="60"/>
        <w:jc w:val="center"/>
      </w:pPr>
      <w:r>
        <w:rPr>
          <w:i/>
          <w:sz w:val="18"/>
        </w:rPr>
        <w:t>Match Canvas calculations to the approved syllabus.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E7E7E7"/>
          </w:tcPr>
          <w:p>
            <w:pPr>
              <w:spacing w:after="0"/>
              <w:jc w:val="center"/>
            </w:pPr>
            <w:r>
              <w:rPr>
                <w:b/>
                <w:sz w:val="15"/>
              </w:rPr>
              <w:t>FTCC Canvas Course Launch Resource | New Quizzes only | No Canvas-integrated AI features</w:t>
            </w:r>
          </w:p>
        </w:tc>
      </w:tr>
    </w:tbl>
    <w:p>
      <w:pPr>
        <w:pStyle w:val="Heading1"/>
      </w:pPr>
      <w:r>
        <w:t>Click Path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F2F2F2"/>
          </w:tcPr>
          <w:p>
            <w:pPr>
              <w:spacing w:after="0"/>
              <w:jc w:val="center"/>
            </w:pPr>
            <w:r>
              <w:rPr>
                <w:b/>
                <w:sz w:val="18"/>
              </w:rPr>
              <w:t>Course Navigation → Assignments → + Group / Assignment Groups Settings</w:t>
            </w:r>
          </w:p>
        </w:tc>
      </w:tr>
    </w:tbl>
    <w:p>
      <w:pPr>
        <w:pStyle w:val="Heading1"/>
      </w:pPr>
      <w:r>
        <w:t>Why This Matters</w:t>
      </w:r>
    </w:p>
    <w:p>
      <w:pPr>
        <w:spacing w:after="20"/>
      </w:pPr>
      <w:r>
        <w:t>Canvas calculates weighted grades from assignment groups. Names, percentages, and item placement must match the syllabus.</w:t>
      </w:r>
    </w:p>
    <w:p>
      <w:pPr>
        <w:pStyle w:val="Heading1"/>
      </w:pPr>
      <w:r>
        <w:t>Steps</w:t>
      </w:r>
    </w:p>
    <w:p>
      <w:pPr>
        <w:pStyle w:val="ListNumber"/>
        <w:spacing w:after="0" w:line="240" w:lineRule="auto"/>
      </w:pPr>
      <w:r>
        <w:t>List each syllabus category and percentage.</w:t>
      </w:r>
    </w:p>
    <w:p>
      <w:pPr>
        <w:pStyle w:val="ListNumber"/>
        <w:spacing w:after="0" w:line="240" w:lineRule="auto"/>
      </w:pPr>
      <w:r>
        <w:t>Open Assignments and create or rename groups to match the syllabus.</w:t>
      </w:r>
    </w:p>
    <w:p>
      <w:pPr>
        <w:pStyle w:val="ListNumber"/>
        <w:spacing w:after="0" w:line="240" w:lineRule="auto"/>
      </w:pPr>
      <w:r>
        <w:t>Move every graded Assignment, Discussion, and New Quiz into the correct group.</w:t>
      </w:r>
    </w:p>
    <w:p>
      <w:pPr>
        <w:pStyle w:val="ListNumber"/>
        <w:spacing w:after="0" w:line="240" w:lineRule="auto"/>
      </w:pPr>
      <w:r>
        <w:t>Open Assignment Groups Settings.</w:t>
      </w:r>
    </w:p>
    <w:p>
      <w:pPr>
        <w:pStyle w:val="ListNumber"/>
        <w:spacing w:after="0" w:line="240" w:lineRule="auto"/>
      </w:pPr>
      <w:r>
        <w:t>Enable weighting by assignment groups.</w:t>
      </w:r>
    </w:p>
    <w:p>
      <w:pPr>
        <w:pStyle w:val="ListNumber"/>
        <w:spacing w:after="0" w:line="240" w:lineRule="auto"/>
      </w:pPr>
      <w:r>
        <w:t>Enter each syllabus percentage and confirm required groups total 100%.</w:t>
      </w:r>
    </w:p>
    <w:p>
      <w:pPr>
        <w:pStyle w:val="ListNumber"/>
        <w:spacing w:after="0" w:line="240" w:lineRule="auto"/>
      </w:pPr>
      <w:r>
        <w:t>Save and review the Gradebook for group totals and item placement.</w:t>
      </w:r>
    </w:p>
    <w:p>
      <w:pPr>
        <w:pStyle w:val="Heading1"/>
      </w:pPr>
      <w:r>
        <w:t>Verify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29"/>
        <w:gridCol w:w="5429"/>
      </w:tblGrid>
      <w:tr>
        <w:tc>
          <w:tcPr>
            <w:tcW w:type="dxa" w:w="5429"/>
          </w:tcPr>
          <w:p>
            <w:pPr>
              <w:spacing w:after="0" w:line="240" w:lineRule="auto"/>
            </w:pPr>
            <w:r>
              <w:t>☐ Group names match the syllabus.</w:t>
            </w:r>
          </w:p>
        </w:tc>
        <w:tc>
          <w:tcPr>
            <w:tcW w:type="dxa" w:w="5429"/>
          </w:tcPr>
          <w:p>
            <w:pPr>
              <w:spacing w:after="0" w:line="240" w:lineRule="auto"/>
            </w:pPr>
            <w:r>
              <w:t>☐ All graded items are in the correct group.</w:t>
            </w:r>
          </w:p>
        </w:tc>
      </w:tr>
      <w:tr>
        <w:tc>
          <w:tcPr>
            <w:tcW w:type="dxa" w:w="5429"/>
          </w:tcPr>
          <w:p>
            <w:pPr>
              <w:spacing w:after="0" w:line="240" w:lineRule="auto"/>
            </w:pPr>
            <w:r>
              <w:t>☐ Required weights total 100%.</w:t>
            </w:r>
          </w:p>
        </w:tc>
        <w:tc>
          <w:tcPr>
            <w:tcW w:type="dxa" w:w="5429"/>
          </w:tcPr>
          <w:p>
            <w:pPr>
              <w:spacing w:after="0" w:line="240" w:lineRule="auto"/>
            </w:pPr>
            <w:r>
              <w:t>☐ No active items remain in a default group.</w:t>
            </w:r>
          </w:p>
        </w:tc>
      </w:tr>
      <w:tr>
        <w:tc>
          <w:tcPr>
            <w:tcW w:type="dxa" w:w="5429"/>
          </w:tcPr>
          <w:p>
            <w:pPr>
              <w:spacing w:after="0" w:line="240" w:lineRule="auto"/>
            </w:pPr>
            <w:r>
              <w:t>☐ Points create the intended value within groups.</w:t>
            </w:r>
          </w:p>
        </w:tc>
        <w:tc>
          <w:tcPr>
            <w:tcW w:type="dxa" w:w="5429"/>
          </w:tcPr>
          <w:p>
            <w:pPr>
              <w:spacing w:after="0" w:line="240" w:lineRule="auto"/>
            </w:pPr>
            <w:r>
              <w:t>☐ The student Grades view is clear.</w:t>
            </w:r>
          </w:p>
        </w:tc>
      </w:tr>
    </w:tbl>
    <w:p>
      <w:pPr>
        <w:pStyle w:val="Heading1"/>
      </w:pPr>
      <w:r>
        <w:t>Important Limits and Common Mistakes</w:t>
      </w:r>
    </w:p>
    <w:p>
      <w:pPr>
        <w:pStyle w:val="ListBullet"/>
        <w:spacing w:after="0"/>
      </w:pPr>
      <w:r>
        <w:t>Group weighting does not make every item in a group equal; points still matter.</w:t>
      </w:r>
    </w:p>
    <w:p>
      <w:pPr>
        <w:pStyle w:val="ListBullet"/>
        <w:spacing w:after="0"/>
      </w:pPr>
      <w:r>
        <w:t>Moving an item changes its final-grade contribution.</w:t>
      </w:r>
    </w:p>
    <w:p>
      <w:pPr>
        <w:pStyle w:val="ListBullet"/>
        <w:spacing w:after="0"/>
      </w:pPr>
      <w:r>
        <w:t>Do not change approved percentages without the proper process.</w:t>
      </w:r>
    </w:p>
    <w:p>
      <w:pPr>
        <w:pStyle w:val="Heading1"/>
      </w:pPr>
      <w:r>
        <w:t>Primary Resource</w:t>
      </w:r>
    </w:p>
    <w:p>
      <w:pPr>
        <w:spacing w:after="20"/>
      </w:pPr>
      <w:r>
        <w:t>Official Canvas Instructor Guide: community.canvaslms.com/t5/Instructor-Guide/tkb-p/Instructor</w:t>
      </w:r>
    </w:p>
    <w:p>
      <w:pPr>
        <w:spacing w:before="40" w:after="0"/>
      </w:pPr>
      <w:r>
        <w:rPr>
          <w:b/>
        </w:rPr>
        <w:t xml:space="preserve">Guidde-ready recording path: </w:t>
      </w:r>
      <w:r>
        <w:t>Course Navigation → Assignments → + Group / Assignment Groups Settings → demonstrate the essential setup → show the final verification step.</w:t>
      </w:r>
    </w:p>
    <w:sectPr w:rsidR="00FC693F" w:rsidRPr="0006063C" w:rsidSect="00034616">
      <w:footerReference w:type="default" r:id="rId9"/>
      <w:pgSz w:w="12240" w:h="15840"/>
      <w:pgMar w:top="461" w:right="691" w:bottom="461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sz w:val="14"/>
      </w:rPr>
      <w:t>Created for FTCC faculty support by Angela Westmoreland, M.Ed.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Arial" w:hAnsi="Arial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20"/>
      <w:outlineLvl w:val="0"/>
    </w:pPr>
    <w:rPr>
      <w:rFonts w:asciiTheme="majorHAnsi" w:eastAsiaTheme="majorEastAsia" w:hAnsiTheme="majorHAnsi" w:cstheme="majorBidi" w:ascii="Arial" w:hAnsi="Arial"/>
      <w:b/>
      <w:bCs/>
      <w:sz w:val="2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20"/>
      <w:outlineLvl w:val="1"/>
    </w:pPr>
    <w:rPr>
      <w:rFonts w:asciiTheme="majorHAnsi" w:eastAsiaTheme="majorEastAsia" w:hAnsiTheme="majorHAnsi" w:cstheme="majorBidi" w:ascii="Arial" w:hAnsi="Arial"/>
      <w:b/>
      <w:bCs/>
      <w:sz w:val="19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Arial" w:hAnsi="Arial"/>
    </w:rPr>
  </w:style>
  <w:style w:type="table" w:default="1" w:styleId="TableNormal">
    <w:name w:val="Normal Table"/>
    <w:uiPriority w:val="99"/>
    <w:semiHidden/>
    <w:unhideWhenUsed/>
    <w:rPr>
      <w:rFonts w:ascii="Arial" w:hAnsi="Aria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Arial" w:hAnsi="Arial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Arial" w:hAnsi="Arial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Arial" w:hAnsi="Arial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Arial" w:hAnsi="Arial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Arial" w:hAnsi="Arial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Arial" w:hAnsi="Arial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Arial" w:hAnsi="Arial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Arial" w:hAnsi="Arial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Arial" w:hAnsi="Arial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Arial" w:hAnsi="Arial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Arial" w:hAnsi="Arial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Arial" w:hAnsi="Arial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Arial" w:hAnsi="Arial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Arial" w:hAnsi="Arial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Arial" w:hAnsi="Arial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Arial" w:hAnsi="Arial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Arial" w:hAnsi="Arial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Arial" w:hAnsi="Arial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Arial" w:hAnsi="Arial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Arial" w:hAnsi="Arial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Arial" w:hAnsi="Arial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Arial" w:hAnsi="Arial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Arial" w:hAnsi="Arial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Arial" w:hAnsi="Arial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Arial" w:hAnsi="Arial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Arial" w:hAnsi="Arial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Arial" w:hAnsi="Arial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Arial" w:hAnsi="Arial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Arial" w:hAnsi="Arial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Arial" w:hAnsi="Arial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Arial" w:hAnsi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Arial" w:hAnsi="Arial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Arial" w:hAnsi="Arial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Arial" w:hAnsi="Arial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Arial" w:hAnsi="Arial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Arial" w:hAnsi="Arial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Arial" w:hAnsi="Arial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Arial" w:hAnsi="Arial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Arial" w:hAnsi="Arial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Arial" w:hAnsi="Arial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Arial" w:hAnsi="Arial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