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b/>
          <w:sz w:val="32"/>
        </w:rPr>
        <w:t>Canvas Link Validator: Check, Repair, and Verify</w:t>
      </w:r>
    </w:p>
    <w:p>
      <w:pPr>
        <w:spacing w:after="60"/>
        <w:jc w:val="center"/>
      </w:pPr>
      <w:r>
        <w:rPr>
          <w:i/>
          <w:sz w:val="18"/>
        </w:rPr>
        <w:t>Find links or files connected to old or inaccessible content.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58"/>
      </w:tblGrid>
      <w:tr>
        <w:tc>
          <w:tcPr>
            <w:tcW w:type="dxa" w:w="10858"/>
            <w:shd w:fill="E7E7E7"/>
          </w:tcPr>
          <w:p>
            <w:pPr>
              <w:spacing w:after="0"/>
              <w:jc w:val="center"/>
            </w:pPr>
            <w:r>
              <w:rPr>
                <w:b/>
                <w:sz w:val="15"/>
              </w:rPr>
              <w:t>FTCC Canvas Course Launch Resource | New Quizzes only | No Canvas-integrated AI features</w:t>
            </w:r>
          </w:p>
        </w:tc>
      </w:tr>
    </w:tbl>
    <w:p>
      <w:pPr>
        <w:pStyle w:val="Heading1"/>
      </w:pPr>
      <w:r>
        <w:t>Click Path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58"/>
      </w:tblGrid>
      <w:tr>
        <w:tc>
          <w:tcPr>
            <w:tcW w:type="dxa" w:w="10858"/>
            <w:shd w:fill="F2F2F2"/>
          </w:tcPr>
          <w:p>
            <w:pPr>
              <w:spacing w:after="0"/>
              <w:jc w:val="center"/>
            </w:pPr>
            <w:r>
              <w:rPr>
                <w:b/>
                <w:sz w:val="18"/>
              </w:rPr>
              <w:t>Course Settings → Validate Links in Content → Start Link Validation</w:t>
            </w:r>
          </w:p>
        </w:tc>
      </w:tr>
    </w:tbl>
    <w:p>
      <w:pPr>
        <w:pStyle w:val="Heading1"/>
      </w:pPr>
      <w:r>
        <w:t>Why This Matters</w:t>
      </w:r>
    </w:p>
    <w:p>
      <w:pPr>
        <w:spacing w:after="20"/>
      </w:pPr>
      <w:r>
        <w:t>The validator identifies possible broken or inaccessible links. Each result still requires review and important links must be tested in Student View.</w:t>
      </w:r>
    </w:p>
    <w:p>
      <w:pPr>
        <w:pStyle w:val="Heading1"/>
      </w:pPr>
      <w:r>
        <w:t>Steps</w:t>
      </w:r>
    </w:p>
    <w:p>
      <w:pPr>
        <w:pStyle w:val="ListNumber"/>
        <w:spacing w:after="0" w:line="240" w:lineRule="auto"/>
      </w:pPr>
      <w:r>
        <w:t>Open Course Settings.</w:t>
      </w:r>
    </w:p>
    <w:p>
      <w:pPr>
        <w:pStyle w:val="ListNumber"/>
        <w:spacing w:after="0" w:line="240" w:lineRule="auto"/>
      </w:pPr>
      <w:r>
        <w:t>Select Validate Links in Content and start validation.</w:t>
      </w:r>
    </w:p>
    <w:p>
      <w:pPr>
        <w:pStyle w:val="ListNumber"/>
        <w:spacing w:after="0" w:line="240" w:lineRule="auto"/>
      </w:pPr>
      <w:r>
        <w:t>Open each source item named in the results.</w:t>
      </w:r>
    </w:p>
    <w:p>
      <w:pPr>
        <w:pStyle w:val="ListNumber"/>
        <w:spacing w:after="0" w:line="240" w:lineRule="auto"/>
      </w:pPr>
      <w:r>
        <w:t>Repair internal links so they point to the current course.</w:t>
      </w:r>
    </w:p>
    <w:p>
      <w:pPr>
        <w:pStyle w:val="ListNumber"/>
        <w:spacing w:after="0" w:line="240" w:lineRule="auto"/>
      </w:pPr>
      <w:r>
        <w:t>Check file existence, permissions, and publication.</w:t>
      </w:r>
    </w:p>
    <w:p>
      <w:pPr>
        <w:pStyle w:val="ListNumber"/>
        <w:spacing w:after="0" w:line="240" w:lineRule="auto"/>
      </w:pPr>
      <w:r>
        <w:t>Replace or remove outdated external links.</w:t>
      </w:r>
    </w:p>
    <w:p>
      <w:pPr>
        <w:pStyle w:val="ListNumber"/>
        <w:spacing w:after="0" w:line="240" w:lineRule="auto"/>
      </w:pPr>
      <w:r>
        <w:t>Review student-inaccessible items for dates, prerequisites, modules, and publication.</w:t>
      </w:r>
    </w:p>
    <w:p>
      <w:pPr>
        <w:pStyle w:val="ListNumber"/>
        <w:spacing w:after="0" w:line="240" w:lineRule="auto"/>
      </w:pPr>
      <w:r>
        <w:t>Run validation again, then test key links in Student View.</w:t>
      </w:r>
    </w:p>
    <w:p>
      <w:pPr>
        <w:pStyle w:val="Heading1"/>
      </w:pPr>
      <w:r>
        <w:t>Verify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429"/>
        <w:gridCol w:w="5429"/>
      </w:tblGrid>
      <w:tr>
        <w:tc>
          <w:tcPr>
            <w:tcW w:type="dxa" w:w="5429"/>
          </w:tcPr>
          <w:p>
            <w:pPr>
              <w:spacing w:after="0" w:line="240" w:lineRule="auto"/>
            </w:pPr>
            <w:r>
              <w:t>☐ Internal links point to the current course.</w:t>
            </w:r>
          </w:p>
        </w:tc>
        <w:tc>
          <w:tcPr>
            <w:tcW w:type="dxa" w:w="5429"/>
          </w:tcPr>
          <w:p>
            <w:pPr>
              <w:spacing w:after="0" w:line="240" w:lineRule="auto"/>
            </w:pPr>
            <w:r>
              <w:t>☐ Activities, modules, and files are published.</w:t>
            </w:r>
          </w:p>
        </w:tc>
      </w:tr>
      <w:tr>
        <w:tc>
          <w:tcPr>
            <w:tcW w:type="dxa" w:w="5429"/>
          </w:tcPr>
          <w:p>
            <w:pPr>
              <w:spacing w:after="0" w:line="240" w:lineRule="auto"/>
            </w:pPr>
            <w:r>
              <w:t>☐ External links reach the intended source.</w:t>
            </w:r>
          </w:p>
        </w:tc>
        <w:tc>
          <w:tcPr>
            <w:tcW w:type="dxa" w:w="5429"/>
          </w:tcPr>
          <w:p>
            <w:pPr>
              <w:spacing w:after="0" w:line="240" w:lineRule="auto"/>
            </w:pPr>
            <w:r>
              <w:t>☐ No placeholder or obsolete links remain.</w:t>
            </w:r>
          </w:p>
        </w:tc>
      </w:tr>
      <w:tr>
        <w:tc>
          <w:tcPr>
            <w:tcW w:type="dxa" w:w="5429"/>
          </w:tcPr>
          <w:p>
            <w:pPr>
              <w:spacing w:after="0" w:line="240" w:lineRule="auto"/>
            </w:pPr>
            <w:r>
              <w:t>☐ Remaining warnings were reviewed.</w:t>
            </w:r>
          </w:p>
        </w:tc>
        <w:tc>
          <w:tcPr>
            <w:tcW w:type="dxa" w:w="5429"/>
          </w:tcPr>
          <w:p/>
        </w:tc>
      </w:tr>
    </w:tbl>
    <w:p>
      <w:pPr>
        <w:pStyle w:val="Heading1"/>
      </w:pPr>
      <w:r>
        <w:t>Important Limits and Common Mistakes</w:t>
      </w:r>
    </w:p>
    <w:p>
      <w:pPr>
        <w:pStyle w:val="ListBullet"/>
        <w:spacing w:after="0"/>
      </w:pPr>
      <w:r>
        <w:t>The validator can report false positives.</w:t>
      </w:r>
    </w:p>
    <w:p>
      <w:pPr>
        <w:pStyle w:val="ListBullet"/>
        <w:spacing w:after="0"/>
      </w:pPr>
      <w:r>
        <w:t>A link can open but still be outdated, confusing, or inaccessible.</w:t>
      </w:r>
    </w:p>
    <w:p>
      <w:pPr>
        <w:pStyle w:val="ListBullet"/>
        <w:spacing w:after="0"/>
      </w:pPr>
      <w:r>
        <w:t>The validator does not replace testing the student path.</w:t>
      </w:r>
    </w:p>
    <w:p>
      <w:pPr>
        <w:pStyle w:val="Heading1"/>
      </w:pPr>
      <w:r>
        <w:t>Primary Resource</w:t>
      </w:r>
    </w:p>
    <w:p>
      <w:pPr>
        <w:spacing w:after="20"/>
      </w:pPr>
      <w:r>
        <w:t>Official Canvas guide: community.canvaslms.com/t5/Instructor-Guide/How-do-I-validate-links-in-a-course/ta-p/1001</w:t>
      </w:r>
    </w:p>
    <w:p>
      <w:pPr>
        <w:spacing w:before="40" w:after="0"/>
      </w:pPr>
      <w:r>
        <w:rPr>
          <w:b/>
        </w:rPr>
        <w:t xml:space="preserve">Guidde-ready recording path: </w:t>
      </w:r>
      <w:r>
        <w:t>Course Settings → Validate Links in Content → Start Link Validation → demonstrate the essential setup → show the final verification step.</w:t>
      </w:r>
    </w:p>
    <w:sectPr w:rsidR="00FC693F" w:rsidRPr="0006063C" w:rsidSect="00034616">
      <w:footerReference w:type="default" r:id="rId9"/>
      <w:pgSz w:w="12240" w:h="15840"/>
      <w:pgMar w:top="461" w:right="691" w:bottom="461" w:left="6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</w:pPr>
    <w:r>
      <w:rPr>
        <w:sz w:val="14"/>
      </w:rPr>
      <w:t>Created for FTCC faculty support by Angela Westmoreland, M.Ed.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20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80" w:after="20"/>
      <w:outlineLvl w:val="0"/>
    </w:pPr>
    <w:rPr>
      <w:rFonts w:asciiTheme="majorHAnsi" w:eastAsiaTheme="majorEastAsia" w:hAnsiTheme="majorHAnsi" w:cstheme="majorBidi" w:ascii="Arial" w:hAnsi="Arial"/>
      <w:b/>
      <w:bCs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20"/>
      <w:outlineLvl w:val="1"/>
    </w:pPr>
    <w:rPr>
      <w:rFonts w:asciiTheme="majorHAnsi" w:eastAsiaTheme="majorEastAsia" w:hAnsiTheme="majorHAnsi" w:cstheme="majorBidi" w:ascii="Arial" w:hAnsi="Arial"/>
      <w:b/>
      <w:bCs/>
      <w:sz w:val="1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/>
    </w:rPr>
  </w:style>
  <w:style w:type="table" w:default="1" w:styleId="TableNormal">
    <w:name w:val="Normal Table"/>
    <w:uiPriority w:val="99"/>
    <w:semiHidden/>
    <w:unhideWhenUsed/>
    <w:rPr>
      <w:rFonts w:ascii="Arial" w:hAnsi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Arial" w:hAnsi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rial" w:hAnsi="Arial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rial" w:hAnsi="Arial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rial" w:hAnsi="Arial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Arial" w:hAnsi="Arial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" w:hAnsi="Arial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rial" w:hAnsi="Arial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Arial" w:hAnsi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Arial" w:hAnsi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Arial" w:hAnsi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rial" w:hAnsi="Arial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rial" w:hAnsi="Arial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rial" w:hAnsi="Arial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rial" w:hAnsi="Arial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rial" w:hAnsi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rial" w:hAnsi="Arial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Arial" w:hAnsi="Arial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Arial" w:hAnsi="Arial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Arial" w:hAnsi="Arial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Arial" w:hAnsi="Arial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Arial" w:hAnsi="Arial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Arial" w:hAnsi="Arial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Arial" w:hAnsi="Arial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