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b/>
          <w:sz w:val="32"/>
        </w:rPr>
        <w:t>Class Collaborate with Canvas</w:t>
      </w:r>
    </w:p>
    <w:p>
      <w:pPr>
        <w:spacing w:after="60"/>
        <w:jc w:val="center"/>
      </w:pPr>
      <w:r>
        <w:rPr>
          <w:i/>
          <w:sz w:val="18"/>
        </w:rPr>
        <w:t>Create, communicate, run, record, and close a live online session.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742"/>
      </w:tblGrid>
      <w:tr>
        <w:tc>
          <w:tcPr>
            <w:tcW w:type="dxa" w:w="10742"/>
            <w:shd w:fill="E8E8E8"/>
          </w:tcPr>
          <w:p>
            <w:pPr>
              <w:spacing w:after="0"/>
              <w:jc w:val="center"/>
            </w:pPr>
            <w:r>
              <w:rPr>
                <w:b/>
                <w:sz w:val="15"/>
              </w:rPr>
              <w:t>FTCC Canvas Faculty Resource | New Quizzes only | Panopto and Class Collaborate supported | No Canvas Studio</w:t>
            </w:r>
          </w:p>
        </w:tc>
      </w:tr>
    </w:tbl>
    <w:p>
      <w:pPr>
        <w:pStyle w:val="Heading1"/>
      </w:pPr>
      <w:r>
        <w:t>Click Path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742"/>
      </w:tblGrid>
      <w:tr>
        <w:tc>
          <w:tcPr>
            <w:tcW w:type="dxa" w:w="10742"/>
            <w:shd w:fill="F3F3F3"/>
          </w:tcPr>
          <w:p>
            <w:pPr>
              <w:spacing w:after="0"/>
              <w:jc w:val="center"/>
            </w:pPr>
            <w:r>
              <w:rPr>
                <w:b/>
              </w:rPr>
              <w:t>Course Navigation → Class Collaborate</w:t>
            </w:r>
          </w:p>
        </w:tc>
      </w:tr>
    </w:tbl>
    <w:p>
      <w:pPr>
        <w:pStyle w:val="Heading1"/>
      </w:pPr>
      <w:r>
        <w:t>Purpose</w:t>
      </w:r>
    </w:p>
    <w:p>
      <w:r>
        <w:t>FTCC uses Class Collaborate for synchronous meetings. Faculty should make the access path, schedule, session settings, recordings, and accessibility expectations clear.</w:t>
      </w:r>
    </w:p>
    <w:p>
      <w:pPr>
        <w:pStyle w:val="Heading1"/>
      </w:pPr>
      <w:r>
        <w:t>Steps</w:t>
      </w:r>
    </w:p>
    <w:p>
      <w:pPr>
        <w:pStyle w:val="ListNumber"/>
        <w:spacing w:after="0"/>
      </w:pPr>
      <w:r>
        <w:t>Open Class Collaborate from the correct Canvas course.</w:t>
      </w:r>
    </w:p>
    <w:p>
      <w:pPr>
        <w:pStyle w:val="ListNumber"/>
        <w:spacing w:after="0"/>
      </w:pPr>
      <w:r>
        <w:t>Create or schedule the session with a descriptive name, date, time, and appropriate early-entry setting.</w:t>
      </w:r>
    </w:p>
    <w:p>
      <w:pPr>
        <w:pStyle w:val="ListNumber"/>
        <w:spacing w:after="0"/>
      </w:pPr>
      <w:r>
        <w:t>Review participant permissions for audio, video, chat, whiteboard, and screen sharing.</w:t>
      </w:r>
    </w:p>
    <w:p>
      <w:pPr>
        <w:pStyle w:val="ListNumber"/>
        <w:spacing w:after="0"/>
      </w:pPr>
      <w:r>
        <w:t>Post the access instructions and expectations in Canvas.</w:t>
      </w:r>
    </w:p>
    <w:p>
      <w:pPr>
        <w:pStyle w:val="ListNumber"/>
        <w:spacing w:after="0"/>
      </w:pPr>
      <w:r>
        <w:t>Join early to test microphone, camera, screen sharing, and presentation materials.</w:t>
      </w:r>
    </w:p>
    <w:p>
      <w:pPr>
        <w:pStyle w:val="ListNumber"/>
        <w:spacing w:after="0"/>
      </w:pPr>
      <w:r>
        <w:t>Record only when appropriate and communicate that recording is occurring.</w:t>
      </w:r>
    </w:p>
    <w:p>
      <w:pPr>
        <w:pStyle w:val="ListNumber"/>
        <w:spacing w:after="0"/>
      </w:pPr>
      <w:r>
        <w:t>Use captions or other accessibility supports available in the local configuration.</w:t>
      </w:r>
    </w:p>
    <w:p>
      <w:pPr>
        <w:pStyle w:val="ListNumber"/>
        <w:spacing w:after="0"/>
      </w:pPr>
      <w:r>
        <w:t>After the session, stop recording, close the room, and share the recording or follow-up materials where intended.</w:t>
      </w:r>
    </w:p>
    <w:p>
      <w:pPr>
        <w:pStyle w:val="Heading1"/>
      </w:pPr>
      <w:r>
        <w:t>Verify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71"/>
        <w:gridCol w:w="5371"/>
      </w:tblGrid>
      <w:tr>
        <w:tc>
          <w:tcPr>
            <w:tcW w:type="dxa" w:w="5371"/>
          </w:tcPr>
          <w:p>
            <w:pPr>
              <w:spacing w:after="0"/>
            </w:pPr>
            <w:r>
              <w:t>☐ Session belongs to the correct course.</w:t>
            </w:r>
          </w:p>
        </w:tc>
        <w:tc>
          <w:tcPr>
            <w:tcW w:type="dxa" w:w="5371"/>
          </w:tcPr>
          <w:p>
            <w:pPr>
              <w:spacing w:after="0"/>
            </w:pPr>
            <w:r>
              <w:t>☐ Date and time are correct.</w:t>
            </w:r>
          </w:p>
        </w:tc>
      </w:tr>
      <w:tr>
        <w:tc>
          <w:tcPr>
            <w:tcW w:type="dxa" w:w="5371"/>
          </w:tcPr>
          <w:p>
            <w:pPr>
              <w:spacing w:after="0"/>
            </w:pPr>
            <w:r>
              <w:t>☐ Student access path is clear.</w:t>
            </w:r>
          </w:p>
        </w:tc>
        <w:tc>
          <w:tcPr>
            <w:tcW w:type="dxa" w:w="5371"/>
          </w:tcPr>
          <w:p>
            <w:pPr>
              <w:spacing w:after="0"/>
            </w:pPr>
            <w:r>
              <w:t>☐ Permissions match the activity.</w:t>
            </w:r>
          </w:p>
        </w:tc>
      </w:tr>
      <w:tr>
        <w:tc>
          <w:tcPr>
            <w:tcW w:type="dxa" w:w="5371"/>
          </w:tcPr>
          <w:p>
            <w:pPr>
              <w:spacing w:after="0"/>
            </w:pPr>
            <w:r>
              <w:t>☐ Recording is available only to the intended audience.</w:t>
            </w:r>
          </w:p>
        </w:tc>
        <w:tc>
          <w:tcPr>
            <w:tcW w:type="dxa" w:w="5371"/>
          </w:tcPr>
          <w:p>
            <w:pPr>
              <w:spacing w:after="0"/>
            </w:pPr>
            <w:r>
              <w:t>☐ Accessibility and backup plans are addressed.</w:t>
            </w:r>
          </w:p>
        </w:tc>
      </w:tr>
    </w:tbl>
    <w:p>
      <w:pPr>
        <w:pStyle w:val="Heading1"/>
      </w:pPr>
      <w:r>
        <w:t>Watch For</w:t>
      </w:r>
    </w:p>
    <w:p>
      <w:pPr>
        <w:pStyle w:val="ListBullet"/>
        <w:spacing w:after="0"/>
      </w:pPr>
      <w:r>
        <w:t>Class Collaborate is not Canvas Studio.</w:t>
      </w:r>
    </w:p>
    <w:p>
      <w:pPr>
        <w:pStyle w:val="ListBullet"/>
        <w:spacing w:after="0"/>
      </w:pPr>
      <w:r>
        <w:t>Local configuration can affect available features and recording behavior.</w:t>
      </w:r>
    </w:p>
    <w:p>
      <w:pPr>
        <w:pStyle w:val="ListBullet"/>
        <w:spacing w:after="0"/>
      </w:pPr>
      <w:r>
        <w:t>Do not leave a room or recording open more broadly than intended.</w:t>
      </w:r>
    </w:p>
    <w:p>
      <w:pPr>
        <w:pStyle w:val="ListBullet"/>
        <w:spacing w:after="0"/>
      </w:pPr>
      <w:r>
        <w:t>Provide an alternative when a live session or recording creates an access barrier.</w:t>
      </w:r>
    </w:p>
    <w:p>
      <w:pPr>
        <w:pStyle w:val="Heading1"/>
      </w:pPr>
      <w:r>
        <w:t>Primary Sources</w:t>
      </w:r>
    </w:p>
    <w:p>
      <w:pPr>
        <w:spacing w:after="0"/>
      </w:pPr>
      <w:r>
        <w:t>Blackboard Class Collaborate Help: https://help.blackboard.com/Collaborate</w:t>
      </w:r>
    </w:p>
    <w:sectPr w:rsidR="00FC693F" w:rsidRPr="0006063C" w:rsidSect="00034616">
      <w:footerReference w:type="default" r:id="rId9"/>
      <w:pgSz w:w="12240" w:h="15840"/>
      <w:pgMar w:top="547" w:right="749" w:bottom="547" w:left="74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4"/>
      </w:rPr>
      <w:t>Created for FTCC faculty support by Angela Westmoreland, M.Ed.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20"/>
    </w:pPr>
    <w:rPr>
      <w:rFonts w:ascii="Arial" w:hAnsi="Arial"/>
      <w:color w:val="000000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80" w:after="2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2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/>
    </w:rPr>
  </w:style>
  <w:style w:type="table" w:default="1" w:styleId="TableNormal">
    <w:name w:val="Normal Table"/>
    <w:uiPriority w:val="99"/>
    <w:semiHidden/>
    <w:unhideWhenUsed/>
    <w:rPr>
      <w:rFonts w:ascii="Arial" w:hAnsi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Arial" w:hAnsi="Arial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rial" w:hAnsi="Arial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rial" w:hAnsi="Arial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rial" w:hAnsi="Arial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rial" w:hAnsi="Arial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rial" w:hAnsi="Arial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rial" w:hAnsi="Arial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rial" w:hAnsi="Arial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