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center"/>
      </w:pPr>
      <w:r>
        <w:rPr>
          <w:b/>
          <w:sz w:val="32"/>
        </w:rPr>
        <w:t>After You Copy a Course: Cleanup Checklist</w:t>
      </w:r>
    </w:p>
    <w:p>
      <w:pPr>
        <w:spacing w:after="60"/>
        <w:jc w:val="center"/>
      </w:pPr>
      <w:r>
        <w:rPr>
          <w:i/>
          <w:sz w:val="18"/>
        </w:rPr>
        <w:t>Inspect imported content before students enter the new course.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742"/>
      </w:tblGrid>
      <w:tr>
        <w:tc>
          <w:tcPr>
            <w:tcW w:type="dxa" w:w="10742"/>
            <w:shd w:fill="E8E8E8"/>
          </w:tcPr>
          <w:p>
            <w:pPr>
              <w:spacing w:after="0"/>
              <w:jc w:val="center"/>
            </w:pPr>
            <w:r>
              <w:rPr>
                <w:b/>
                <w:sz w:val="15"/>
              </w:rPr>
              <w:t>FTCC Canvas Faculty Resource | New Quizzes only | Panopto and Class Collaborate supported | No Canvas Studio</w:t>
            </w:r>
          </w:p>
        </w:tc>
      </w:tr>
    </w:tbl>
    <w:p>
      <w:pPr>
        <w:pStyle w:val="Heading1"/>
      </w:pPr>
      <w:r>
        <w:t>Click Path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742"/>
      </w:tblGrid>
      <w:tr>
        <w:tc>
          <w:tcPr>
            <w:tcW w:type="dxa" w:w="10742"/>
            <w:shd w:fill="F3F3F3"/>
          </w:tcPr>
          <w:p>
            <w:pPr>
              <w:spacing w:after="0"/>
              <w:jc w:val="center"/>
            </w:pPr>
            <w:r>
              <w:rPr>
                <w:b/>
              </w:rPr>
              <w:t>Settings → Import Course Content</w:t>
            </w:r>
          </w:p>
        </w:tc>
      </w:tr>
    </w:tbl>
    <w:p>
      <w:pPr>
        <w:pStyle w:val="Heading1"/>
      </w:pPr>
      <w:r>
        <w:t>Purpose</w:t>
      </w:r>
    </w:p>
    <w:p>
      <w:r>
        <w:t>A successful import can still bring old dates, duplicate items, hidden links, outdated announcements, incorrect grade settings, and inaccessible files.</w:t>
      </w:r>
    </w:p>
    <w:p>
      <w:pPr>
        <w:pStyle w:val="Heading1"/>
      </w:pPr>
      <w:r>
        <w:t>Steps</w:t>
      </w:r>
    </w:p>
    <w:p>
      <w:pPr>
        <w:pStyle w:val="ListNumber"/>
        <w:spacing w:after="0"/>
      </w:pPr>
      <w:r>
        <w:t>Confirm the source and destination courses before importing.</w:t>
      </w:r>
    </w:p>
    <w:p>
      <w:pPr>
        <w:pStyle w:val="ListNumber"/>
        <w:spacing w:after="0"/>
      </w:pPr>
      <w:r>
        <w:t>Choose all content or selected content intentionally.</w:t>
      </w:r>
    </w:p>
    <w:p>
      <w:pPr>
        <w:pStyle w:val="ListNumber"/>
        <w:spacing w:after="0"/>
      </w:pPr>
      <w:r>
        <w:t>Use date adjustment carefully when appropriate.</w:t>
      </w:r>
    </w:p>
    <w:p>
      <w:pPr>
        <w:pStyle w:val="ListNumber"/>
        <w:spacing w:after="0"/>
      </w:pPr>
      <w:r>
        <w:t>Wait for the import to complete and review warnings.</w:t>
      </w:r>
    </w:p>
    <w:p>
      <w:pPr>
        <w:pStyle w:val="ListNumber"/>
        <w:spacing w:after="0"/>
      </w:pPr>
      <w:r>
        <w:t>Inspect Home, Modules, Assignments, Discussions, New Quizzes, Pages, Files, Announcements, and Navigation.</w:t>
      </w:r>
    </w:p>
    <w:p>
      <w:pPr>
        <w:pStyle w:val="ListNumber"/>
        <w:spacing w:after="0"/>
      </w:pPr>
      <w:r>
        <w:t>Update dates, names, links, instructor information, and tool access.</w:t>
      </w:r>
    </w:p>
    <w:p>
      <w:pPr>
        <w:pStyle w:val="ListNumber"/>
        <w:spacing w:after="0"/>
      </w:pPr>
      <w:r>
        <w:t>Review assignment groups, weights, grade posting policies, and statuses.</w:t>
      </w:r>
    </w:p>
    <w:p>
      <w:pPr>
        <w:pStyle w:val="ListNumber"/>
        <w:spacing w:after="0"/>
      </w:pPr>
      <w:r>
        <w:t>Run Link Validator and complete a Student View launch path.</w:t>
      </w:r>
    </w:p>
    <w:p>
      <w:pPr>
        <w:pStyle w:val="Heading1"/>
      </w:pPr>
      <w:r>
        <w:t>Verify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371"/>
        <w:gridCol w:w="5371"/>
      </w:tblGrid>
      <w:tr>
        <w:tc>
          <w:tcPr>
            <w:tcW w:type="dxa" w:w="5371"/>
          </w:tcPr>
          <w:p>
            <w:pPr>
              <w:spacing w:after="0"/>
            </w:pPr>
            <w:r>
              <w:t>☐ Correct content was imported.</w:t>
            </w:r>
          </w:p>
        </w:tc>
        <w:tc>
          <w:tcPr>
            <w:tcW w:type="dxa" w:w="5371"/>
          </w:tcPr>
          <w:p>
            <w:pPr>
              <w:spacing w:after="0"/>
            </w:pPr>
            <w:r>
              <w:t>☐ No duplicate modules or activities remain.</w:t>
            </w:r>
          </w:p>
        </w:tc>
      </w:tr>
      <w:tr>
        <w:tc>
          <w:tcPr>
            <w:tcW w:type="dxa" w:w="5371"/>
          </w:tcPr>
          <w:p>
            <w:pPr>
              <w:spacing w:after="0"/>
            </w:pPr>
            <w:r>
              <w:t>☐ Dates are current.</w:t>
            </w:r>
          </w:p>
        </w:tc>
        <w:tc>
          <w:tcPr>
            <w:tcW w:type="dxa" w:w="5371"/>
          </w:tcPr>
          <w:p>
            <w:pPr>
              <w:spacing w:after="0"/>
            </w:pPr>
            <w:r>
              <w:t>☐ Gradebook setup is correct.</w:t>
            </w:r>
          </w:p>
        </w:tc>
      </w:tr>
      <w:tr>
        <w:tc>
          <w:tcPr>
            <w:tcW w:type="dxa" w:w="5371"/>
          </w:tcPr>
          <w:p>
            <w:pPr>
              <w:spacing w:after="0"/>
            </w:pPr>
            <w:r>
              <w:t>☐ Files and links work.</w:t>
            </w:r>
          </w:p>
        </w:tc>
        <w:tc>
          <w:tcPr>
            <w:tcW w:type="dxa" w:w="5371"/>
          </w:tcPr>
          <w:p>
            <w:pPr>
              <w:spacing w:after="0"/>
            </w:pPr>
            <w:r>
              <w:t>☐ Announcements and instructor information are current.</w:t>
            </w:r>
          </w:p>
        </w:tc>
      </w:tr>
    </w:tbl>
    <w:p>
      <w:pPr>
        <w:pStyle w:val="Heading1"/>
      </w:pPr>
      <w:r>
        <w:t>Watch For</w:t>
      </w:r>
    </w:p>
    <w:p>
      <w:pPr>
        <w:pStyle w:val="ListBullet"/>
        <w:spacing w:after="0"/>
      </w:pPr>
      <w:r>
        <w:t>Importing the same source again can overwrite or duplicate content depending on what is selected.</w:t>
      </w:r>
    </w:p>
    <w:p>
      <w:pPr>
        <w:pStyle w:val="ListBullet"/>
        <w:spacing w:after="0"/>
      </w:pPr>
      <w:r>
        <w:t>Internal links can point to the old course.</w:t>
      </w:r>
    </w:p>
    <w:p>
      <w:pPr>
        <w:pStyle w:val="ListBullet"/>
        <w:spacing w:after="0"/>
      </w:pPr>
      <w:r>
        <w:t>Do not rely on a successful import status as a readiness review.</w:t>
      </w:r>
    </w:p>
    <w:p>
      <w:pPr>
        <w:pStyle w:val="Heading1"/>
      </w:pPr>
      <w:r>
        <w:t>Primary Sources</w:t>
      </w:r>
    </w:p>
    <w:p>
      <w:pPr>
        <w:spacing w:after="0"/>
      </w:pPr>
      <w:r>
        <w:t>Instructure Course Import guides: https://community.canvaslms.com/t5/Instructor-Guide/tkb-p/Instructor</w:t>
      </w:r>
    </w:p>
    <w:sectPr w:rsidR="00FC693F" w:rsidRPr="0006063C" w:rsidSect="00034616">
      <w:footerReference w:type="default" r:id="rId9"/>
      <w:pgSz w:w="12240" w:h="15840"/>
      <w:pgMar w:top="547" w:right="749" w:bottom="547" w:left="74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4"/>
      </w:rPr>
      <w:t>Created for FTCC faculty support by Angela Westmoreland, M.Ed.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20"/>
    </w:pPr>
    <w:rPr>
      <w:rFonts w:ascii="Arial" w:hAnsi="Arial"/>
      <w:color w:val="000000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80" w:after="2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23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80" w:after="2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Arial" w:hAnsi="Arial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 w:ascii="Arial" w:hAnsi="Arial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 w:ascii="Arial" w:hAnsi="Arial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 w:ascii="Arial" w:hAnsi="Arial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 w:ascii="Arial" w:hAnsi="Arial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 w:ascii="Arial" w:hAnsi="Arial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  <w:rPr>
      <w:rFonts w:ascii="Arial" w:hAnsi="Arial"/>
    </w:rPr>
  </w:style>
  <w:style w:type="table" w:default="1" w:styleId="TableNormal">
    <w:name w:val="Normal Table"/>
    <w:uiPriority w:val="99"/>
    <w:semiHidden/>
    <w:unhideWhenUsed/>
    <w:rPr>
      <w:rFonts w:ascii="Arial" w:hAnsi="Ari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rFonts w:ascii="Arial" w:hAnsi="Arial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 w:ascii="Arial" w:hAnsi="Arial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 w:ascii="Arial" w:hAnsi="Arial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rial" w:hAnsi="Arial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 w:ascii="Arial" w:hAnsi="Arial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rFonts w:ascii="Arial" w:hAnsi="Arial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Arial" w:hAnsi="Arial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rFonts w:ascii="Arial" w:hAnsi="Arial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rFonts w:ascii="Arial" w:hAnsi="Arial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rFonts w:ascii="Arial" w:hAnsi="Arial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rFonts w:ascii="Arial" w:hAnsi="Arial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rFonts w:ascii="Arial" w:hAnsi="Arial"/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rFonts w:ascii="Arial" w:hAnsi="Arial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rFonts w:ascii="Arial" w:hAnsi="Arial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rFonts w:ascii="Arial" w:hAnsi="Arial"/>
    </w:r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Arial" w:hAnsi="Arial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Arial" w:hAnsi="Arial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rFonts w:ascii="Arial" w:hAnsi="Arial"/>
    </w:r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Arial" w:hAnsi="Arial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Arial" w:hAnsi="Arial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rFonts w:ascii="Arial" w:hAnsi="Arial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rFonts w:ascii="Arial" w:hAnsi="Arial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rFonts w:ascii="Arial" w:hAnsi="Arial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rFonts w:ascii="Arial" w:hAnsi="Arial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rial" w:hAnsi="Arial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Arial" w:hAnsi="Arial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rFonts w:ascii="Arial" w:hAnsi="Arial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rFonts w:ascii="Arial" w:hAnsi="Arial"/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 w:ascii="Arial" w:hAnsi="Arial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 w:ascii="Arial" w:hAnsi="Arial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 w:ascii="Arial" w:hAnsi="Arial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 w:ascii="Arial" w:hAnsi="Arial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 w:ascii="Arial" w:hAnsi="Arial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 w:ascii="Arial" w:hAnsi="Arial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Arial" w:hAnsi="Arial"/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rFonts w:ascii="Arial" w:hAnsi="Arial"/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rFonts w:ascii="Arial" w:hAnsi="Arial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Arial" w:hAnsi="Arial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rFonts w:ascii="Arial" w:hAnsi="Arial"/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rFonts w:ascii="Arial" w:hAnsi="Arial"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rFonts w:ascii="Arial" w:hAnsi="Arial"/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rFonts w:ascii="Arial" w:hAnsi="Arial"/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rFonts w:ascii="Arial" w:hAnsi="Arial"/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rFonts w:ascii="Arial" w:hAnsi="Arial"/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rFonts w:ascii="Arial" w:hAnsi="Arial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rPr>
      <w:rFonts w:ascii="Arial" w:hAnsi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rFonts w:ascii="Arial" w:hAnsi="Arial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rFonts w:ascii="Arial" w:hAnsi="Arial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rFonts w:ascii="Arial" w:hAnsi="Arial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rFonts w:ascii="Arial" w:hAnsi="Arial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rFonts w:ascii="Arial" w:hAnsi="Arial"/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rFonts w:ascii="Arial" w:hAnsi="Arial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rFonts w:ascii="Arial" w:hAnsi="Arial"/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