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New Faculty Canvas Course Launch Workshop</w:t>
      </w:r>
    </w:p>
    <w:p>
      <w:pPr>
        <w:jc w:val="center"/>
      </w:pPr>
      <w:r>
        <w:rPr>
          <w:i/>
          <w:color w:val="595959"/>
          <w:sz w:val="18"/>
        </w:rPr>
        <w:t>Full-Day, Hands-On Course Setup and Readiness Training • 8:00 a.m.–4:30 p.m.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4688"/>
      </w:tblGrid>
      <w:tr>
        <w:tc>
          <w:tcPr>
            <w:tcW w:type="dxa" w:w="14688"/>
            <w:shd w:fill="EAF2F8"/>
          </w:tcPr>
          <w:p>
            <w:pPr>
              <w:spacing w:after="0"/>
            </w:pPr>
            <w:r>
              <w:rPr>
                <w:b/>
                <w:color w:val="1F4E79"/>
              </w:rPr>
              <w:t xml:space="preserve">Purpose. </w:t>
            </w:r>
            <w:r>
              <w:t>Prepare new faculty to build a functional, student-ready Canvas course foundation through brief demonstrations, guided work in assigned courses, verification, and individualized support.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440"/>
        <w:gridCol w:w="4104"/>
      </w:tblGrid>
      <w:tr>
        <w:tc>
          <w:tcPr>
            <w:tcW w:type="dxa" w:w="734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pStyle w:val="Heading1"/>
            </w:pPr>
            <w:r>
              <w:t>Proposed Schedule</w:t>
            </w:r>
          </w:p>
          <w:tbl>
            <w:tblPr>
              <w:tblStyle w:val="TableGrid"/>
              <w:tblW w:type="auto" w:w="0"/>
              <w:jc w:val="center"/>
              <w:tblLayout w:type="fixed"/>
              <w:tblLook w:firstColumn="1" w:firstRow="1" w:lastColumn="0" w:lastRow="0" w:noHBand="0" w:noVBand="1" w:val="04A0"/>
            </w:tblPr>
            <w:tblGrid>
              <w:gridCol w:w="1224"/>
              <w:gridCol w:w="3384"/>
              <w:gridCol w:w="5544"/>
            </w:tblGrid>
            <w:tr>
              <w:tc>
                <w:tcPr>
                  <w:tcW w:type="dxa" w:w="2448"/>
                  <w:shd w:fill="1F4E79"/>
                </w:tcPr>
                <w:p>
                  <w:pPr>
                    <w:jc w:val="center"/>
                  </w:pPr>
                  <w:r>
                    <w:rPr>
                      <w:b/>
                      <w:color w:val="FFFFFF"/>
                      <w:sz w:val="14"/>
                    </w:rPr>
                    <w:t>Time</w:t>
                  </w:r>
                </w:p>
              </w:tc>
              <w:tc>
                <w:tcPr>
                  <w:tcW w:type="dxa" w:w="2448"/>
                  <w:shd w:fill="1F4E79"/>
                </w:tcPr>
                <w:p>
                  <w:pPr>
                    <w:jc w:val="center"/>
                  </w:pPr>
                  <w:r>
                    <w:rPr>
                      <w:b/>
                      <w:color w:val="FFFFFF"/>
                      <w:sz w:val="14"/>
                    </w:rPr>
                    <w:t>Session</w:t>
                  </w:r>
                </w:p>
              </w:tc>
              <w:tc>
                <w:tcPr>
                  <w:tcW w:type="dxa" w:w="2448"/>
                  <w:shd w:fill="1F4E79"/>
                </w:tcPr>
                <w:p>
                  <w:pPr>
                    <w:jc w:val="center"/>
                  </w:pPr>
                  <w:r>
                    <w:rPr>
                      <w:b/>
                      <w:color w:val="FFFFFF"/>
                      <w:sz w:val="14"/>
                    </w:rPr>
                    <w:t>Primary Focus</w:t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8:00–8:20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Welcome and Readiness Check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Goals, working course, priority needs</w:t>
                  </w:r>
                </w:p>
              </w:tc>
            </w:tr>
            <w:tr>
              <w:tc>
                <w:tcPr>
                  <w:tcW w:type="dxa" w:w="122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8:20–8:50</w:t>
                  </w:r>
                </w:p>
              </w:tc>
              <w:tc>
                <w:tcPr>
                  <w:tcW w:type="dxa" w:w="338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Getting Started in Canvas</w:t>
                  </w:r>
                </w:p>
              </w:tc>
              <w:tc>
                <w:tcPr>
                  <w:tcW w:type="dxa" w:w="554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Access, browsers, tabs, saving, sandboxes, edits</w:t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8:50–9:20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Canvas Tour and Student View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Core areas; published vs. unpublished; student perspective</w:t>
                  </w:r>
                </w:p>
              </w:tc>
            </w:tr>
            <w:tr>
              <w:tc>
                <w:tcPr>
                  <w:tcW w:type="dxa" w:w="122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9:20–9:30</w:t>
                  </w:r>
                </w:p>
              </w:tc>
              <w:tc>
                <w:tcPr>
                  <w:tcW w:type="dxa" w:w="338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BREAK</w:t>
                  </w:r>
                </w:p>
              </w:tc>
              <w:tc>
                <w:tcPr>
                  <w:tcW w:type="dxa" w:w="554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9:30–10:40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Course Kickstart Lab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Settings, navigation, schema, gradebook weights, census, Simple Syllabus</w:t>
                  </w:r>
                </w:p>
              </w:tc>
            </w:tr>
            <w:tr>
              <w:tc>
                <w:tcPr>
                  <w:tcW w:type="dxa" w:w="122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10:40–10:50</w:t>
                  </w:r>
                </w:p>
              </w:tc>
              <w:tc>
                <w:tcPr>
                  <w:tcW w:type="dxa" w:w="338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BREAK</w:t>
                  </w:r>
                </w:p>
              </w:tc>
              <w:tc>
                <w:tcPr>
                  <w:tcW w:type="dxa" w:w="554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10:50–11:25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Student Starting Point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Home page, welcome, Start Here, syllabus, opening announcement</w:t>
                  </w:r>
                </w:p>
              </w:tc>
            </w:tr>
            <w:tr>
              <w:tc>
                <w:tcPr>
                  <w:tcW w:type="dxa" w:w="122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11:25–12:00</w:t>
                  </w:r>
                </w:p>
              </w:tc>
              <w:tc>
                <w:tcPr>
                  <w:tcW w:type="dxa" w:w="338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Modules, Files, and Student Experience</w:t>
                  </w:r>
                </w:p>
              </w:tc>
              <w:tc>
                <w:tcPr>
                  <w:tcW w:type="dxa" w:w="554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Organization, naming, dates, locks, publication, cleanup</w:t>
                  </w:r>
                </w:p>
              </w:tc>
            </w:tr>
            <w:tr>
              <w:tc>
                <w:tcPr>
                  <w:tcW w:type="dxa" w:w="122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12:00–1:00</w:t>
                  </w:r>
                </w:p>
              </w:tc>
              <w:tc>
                <w:tcPr>
                  <w:tcW w:type="dxa" w:w="338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LUNCH</w:t>
                  </w:r>
                </w:p>
              </w:tc>
              <w:tc>
                <w:tcPr>
                  <w:tcW w:type="dxa" w:w="554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</w:r>
                </w:p>
              </w:tc>
            </w:tr>
            <w:tr>
              <w:tc>
                <w:tcPr>
                  <w:tcW w:type="dxa" w:w="122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1:00–1:35</w:t>
                  </w:r>
                </w:p>
              </w:tc>
              <w:tc>
                <w:tcPr>
                  <w:tcW w:type="dxa" w:w="338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Creating and Editing Canvas Content</w:t>
                  </w:r>
                </w:p>
              </w:tc>
              <w:tc>
                <w:tcPr>
                  <w:tcW w:type="dxa" w:w="554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RCE, links, images, files, basic accessibility checks</w:t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1:35–2:20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Assignments, Discussions, Quizzes, Rubrics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Instructions, submission, grading, dates, options, SpeedGrader</w:t>
                  </w:r>
                </w:p>
              </w:tc>
            </w:tr>
            <w:tr>
              <w:tc>
                <w:tcPr>
                  <w:tcW w:type="dxa" w:w="122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2:20–2:30</w:t>
                  </w:r>
                </w:p>
              </w:tc>
              <w:tc>
                <w:tcPr>
                  <w:tcW w:type="dxa" w:w="338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  <w:t>BREAK</w:t>
                  </w:r>
                </w:p>
              </w:tc>
              <w:tc>
                <w:tcPr>
                  <w:tcW w:type="dxa" w:w="5544"/>
                  <w:shd w:fill="EDEDED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b/>
                      <w:i/>
                      <w:sz w:val="13"/>
                    </w:rPr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2:30–3:00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Communication and Grading Tools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Announcements, Inbox, grade views, feedback</w:t>
                  </w:r>
                </w:p>
              </w:tc>
            </w:tr>
            <w:tr>
              <w:tc>
                <w:tcPr>
                  <w:tcW w:type="dxa" w:w="122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3:00–3:25</w:t>
                  </w:r>
                </w:p>
              </w:tc>
              <w:tc>
                <w:tcPr>
                  <w:tcW w:type="dxa" w:w="338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Canvas-Connected Technology</w:t>
                  </w:r>
                </w:p>
              </w:tc>
              <w:tc>
                <w:tcPr>
                  <w:tcW w:type="dxa" w:w="554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Panopto, supported synchronous tools, external platforms</w:t>
                  </w:r>
                </w:p>
              </w:tc>
            </w:tr>
            <w:tr>
              <w:tc>
                <w:tcPr>
                  <w:tcW w:type="dxa" w:w="122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3:25–4:15</w:t>
                  </w:r>
                </w:p>
              </w:tc>
              <w:tc>
                <w:tcPr>
                  <w:tcW w:type="dxa" w:w="338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Course Readiness Lab</w:t>
                  </w:r>
                </w:p>
              </w:tc>
              <w:tc>
                <w:tcPr>
                  <w:tcW w:type="dxa" w:w="5544"/>
                  <w:shd w:fill="F8FAFC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Individualized course work and first-week readiness</w:t>
                  </w:r>
                </w:p>
              </w:tc>
            </w:tr>
            <w:tr>
              <w:tc>
                <w:tcPr>
                  <w:tcW w:type="dxa" w:w="122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4:15–4:30</w:t>
                  </w:r>
                </w:p>
              </w:tc>
              <w:tc>
                <w:tcPr>
                  <w:tcW w:type="dxa" w:w="338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Closing and Follow-Up Plan</w:t>
                  </w:r>
                </w:p>
              </w:tc>
              <w:tc>
                <w:tcPr>
                  <w:tcW w:type="dxa" w:w="5544"/>
                  <w:shd w:fill="FFFFFF"/>
                  <w:vAlign w:val="center"/>
                </w:tcPr>
                <w:p>
                  <w:pPr>
                    <w:spacing w:after="0" w:before="0"/>
                  </w:pPr>
                  <w:r>
                    <w:rPr>
                      <w:sz w:val="13"/>
                    </w:rPr>
                    <w:t>Completed work, remaining priorities, support, next steps</w:t>
                  </w:r>
                </w:p>
              </w:tc>
            </w:tr>
          </w:tbl>
          <w:p/>
        </w:tc>
        <w:tc>
          <w:tcPr>
            <w:tcW w:type="dxa" w:w="7344"/>
            <w:vAlign w:val="top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pStyle w:val="Heading1"/>
            </w:pPr>
            <w:r>
              <w:t>Objectives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Access, navigate, and safely edit assigned courses.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Configure essential course, grading, visibility, and date settings.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Create a clear student starting point and organized first module.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Create or revise common Canvas elements and verify in Student View.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Complete a readiness check and identify follow-up needs.</w:t>
            </w:r>
          </w:p>
          <w:p>
            <w:pPr>
              <w:pStyle w:val="Heading1"/>
            </w:pPr>
            <w:r>
              <w:t>Workshop Method</w:t>
            </w:r>
          </w:p>
          <w:p>
            <w:r>
              <w:rPr>
                <w:b/>
              </w:rPr>
              <w:t>Demonstrate → Explore → Build → Verify → Support</w:t>
            </w:r>
          </w:p>
          <w:p>
            <w:r>
              <w:rPr>
                <w:b/>
              </w:rPr>
              <w:t xml:space="preserve">5 Ws check: </w:t>
            </w:r>
            <w:r>
              <w:t>What? Why? Where? When? Who?</w:t>
            </w:r>
          </w:p>
          <w:p>
            <w:pPr>
              <w:pStyle w:val="Heading1"/>
            </w:pPr>
            <w:r>
              <w:t>Expected Outcomes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Functional navigation and essential settings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Accessible syllabus location and clear starting point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Organized, published first module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At least one correctly configured activity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Appropriate dates, grading, availability, and publication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Initial announcement or course message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Student View review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Readiness checklist and follow-up plan</w:t>
            </w:r>
          </w:p>
          <w:p>
            <w:pPr>
              <w:pStyle w:val="Heading1"/>
            </w:pPr>
            <w:r>
              <w:t>Follow-Up Open Lab</w:t>
            </w:r>
          </w:p>
          <w:p>
            <w:r>
              <w:t>A later onboarding day may include morning institutional sessions followed by a staffed afternoon lab for continued course building and individualized support.</w:t>
            </w:r>
          </w:p>
          <w:p>
            <w:pPr>
              <w:pStyle w:val="Heading1"/>
            </w:pPr>
            <w:r>
              <w:t>Approval Requested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Full-day hands-on structure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Schedule and participant outcomes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Guided practice and course-lab format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Adequate facilitator staffing</w:t>
            </w:r>
          </w:p>
          <w:p>
            <w:pPr>
              <w:spacing w:after="14"/>
              <w:ind w:left="173" w:hanging="144"/>
            </w:pPr>
            <w:r>
              <w:rPr>
                <w:b/>
              </w:rPr>
              <w:t xml:space="preserve">• </w:t>
            </w:r>
            <w:r>
              <w:t>Follow-up open lab</w:t>
            </w:r>
          </w:p>
          <w:p>
            <w:pPr>
              <w:pStyle w:val="Heading1"/>
            </w:pPr>
            <w:r>
              <w:t>Scope</w:t>
            </w:r>
          </w:p>
          <w:p>
            <w:r>
              <w:rPr>
                <w:b/>
              </w:rPr>
              <w:t xml:space="preserve">Practical Canvas course setup and readiness. </w:t>
            </w:r>
            <w:r>
              <w:t>The day is not a pedagogy, course-alignment, or comprehensive instructional-design workshop.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5840" w:h="12240" w:orient="landscape"/>
      <w:pgMar w:top="432" w:right="576" w:bottom="432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95959"/>
        <w:sz w:val="15"/>
      </w:rPr>
      <w:t>Proposal for Review • New Faculty Canvas Course Launch Workshop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b/>
        <w:color w:val="595959"/>
        <w:sz w:val="15"/>
      </w:rPr>
      <w:t>FAYETTEVILLE TECHNICAL COMMUNITY COLLEGE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" w:line="228" w:lineRule="auto"/>
    </w:pPr>
    <w:rPr>
      <w:rFonts w:ascii="Aptos" w:hAnsi="Aptos"/>
      <w:sz w:val="15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0" w:after="40"/>
      <w:outlineLvl w:val="0"/>
    </w:pPr>
    <w:rPr>
      <w:rFonts w:asciiTheme="majorHAnsi" w:eastAsiaTheme="majorEastAsia" w:hAnsiTheme="majorHAnsi" w:cstheme="majorBidi" w:ascii="Aptos" w:hAnsi="Aptos"/>
      <w:b/>
      <w:bCs/>
      <w:color w:val="1F4E79"/>
      <w:sz w:val="2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40" w:line="240" w:lineRule="auto" w:before="40"/>
      <w:contextualSpacing/>
    </w:pPr>
    <w:rPr>
      <w:rFonts w:asciiTheme="majorHAnsi" w:eastAsiaTheme="majorEastAsia" w:hAnsiTheme="majorHAnsi" w:cstheme="majorBidi" w:ascii="Aptos Display" w:hAnsi="Aptos Display"/>
      <w:b/>
      <w:color w:val="1F4E79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