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</w:pPr>
      <w:r>
        <w:t>FTCC Canvas Course Launch Faculty Resource Pack</w:t>
      </w:r>
    </w:p>
    <w:p>
      <w:pPr>
        <w:spacing w:after="160"/>
      </w:pPr>
      <w:r>
        <w:rPr>
          <w:color w:val="53565A"/>
          <w:sz w:val="22"/>
        </w:rPr>
        <w:t>Seven reusable guides for onboarding, course preparation, and semester launch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8F2F6"/>
            <w:vAlign w:val="center"/>
          </w:tcPr>
          <w:p>
            <w:r/>
            <w:r>
              <w:rPr>
                <w:rFonts w:ascii="Arial" w:hAnsi="Arial"/>
                <w:b/>
                <w:color w:val="000000"/>
                <w:sz w:val="18"/>
              </w:rPr>
              <w:t>FTCC NOTE: This resource follows the workshop checklist. It does not include Classic Quizzes or Canvas-integrated AI features.</w:t>
            </w:r>
          </w:p>
        </w:tc>
      </w:tr>
    </w:tbl>
    <w:p/>
    <w:p>
      <w:pPr>
        <w:pStyle w:val="Heading1"/>
        <w:spacing w:before="100" w:after="60"/>
      </w:pPr>
      <w:r>
        <w:t>Contents</w:t>
      </w:r>
    </w:p>
    <w:p>
      <w:r>
        <w:t>1. FTCC Course Kickstart Checklist</w:t>
      </w:r>
    </w:p>
    <w:p>
      <w:r>
        <w:t>2. Student Starting Point Map</w:t>
      </w:r>
    </w:p>
    <w:p>
      <w:r>
        <w:t>3. Modules, Requirements, and Prerequisites</w:t>
      </w:r>
    </w:p>
    <w:p>
      <w:r>
        <w:t>4. Canvas Dates Decoder</w:t>
      </w:r>
    </w:p>
    <w:p>
      <w:r>
        <w:t>5. Publish and Visibility Troubleshooter</w:t>
      </w:r>
    </w:p>
    <w:p>
      <w:r>
        <w:t>6. Assignment and New Quiz Setup Checklist</w:t>
      </w:r>
    </w:p>
    <w:p>
      <w:r>
        <w:t>7. FTCC Course Readiness Review</w:t>
      </w:r>
    </w:p>
    <w:p>
      <w:r>
        <w:t>Each guide is also provided as an individual DOCX and PDF for printing or embedding in the resource site.</w:t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  <w:p>
      <w:pPr>
        <w:pStyle w:val="Title"/>
        <w:spacing w:after="40"/>
      </w:pPr>
      <w:r>
        <w:t>FTCC Course Kickstart Checklist</w:t>
      </w:r>
    </w:p>
    <w:p>
      <w:pPr>
        <w:spacing w:after="160"/>
      </w:pPr>
      <w:r>
        <w:rPr>
          <w:color w:val="53565A"/>
          <w:sz w:val="22"/>
        </w:rPr>
        <w:t>Settings, navigation, syllabus, grading, and required launch setup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8F2F6"/>
            <w:vAlign w:val="center"/>
          </w:tcPr>
          <w:p>
            <w:r/>
            <w:r>
              <w:rPr>
                <w:rFonts w:ascii="Arial" w:hAnsi="Arial"/>
                <w:b/>
                <w:color w:val="000000"/>
                <w:sz w:val="18"/>
              </w:rPr>
              <w:t>FTCC NOTE: This resource follows the workshop checklist. It does not include Classic Quizzes or Canvas-integrated AI features.</w:t>
            </w:r>
          </w:p>
        </w:tc>
      </w:tr>
    </w:tbl>
    <w:p/>
    <w:p>
      <w:pPr>
        <w:pStyle w:val="Heading1"/>
        <w:spacing w:before="100" w:after="60"/>
      </w:pPr>
      <w:r>
        <w:t>Complete these steps in order</w:t>
      </w:r>
    </w:p>
    <w:p>
      <w:pPr>
        <w:spacing w:after="40"/>
      </w:pPr>
      <w:r>
        <w:rPr>
          <w:b/>
        </w:rPr>
        <w:t xml:space="preserve">☐ </w:t>
      </w:r>
      <w:r>
        <w:t>Confirm you are editing the correct course and term.</w:t>
      </w:r>
    </w:p>
    <w:p>
      <w:pPr>
        <w:spacing w:after="40"/>
      </w:pPr>
      <w:r>
        <w:rPr>
          <w:b/>
        </w:rPr>
        <w:t xml:space="preserve">☐ </w:t>
      </w:r>
      <w:r>
        <w:t>Review Course Settings, course dates, visibility, and participation settings.</w:t>
      </w:r>
    </w:p>
    <w:p>
      <w:pPr>
        <w:spacing w:after="40"/>
      </w:pPr>
      <w:r>
        <w:rPr>
          <w:b/>
        </w:rPr>
        <w:t xml:space="preserve">☐ </w:t>
      </w:r>
      <w:r>
        <w:t>Arrange Course Navigation in this order: Home, Announcements, Simple Syllabus, Modules, Grades.</w:t>
      </w:r>
    </w:p>
    <w:p>
      <w:pPr>
        <w:spacing w:after="40"/>
      </w:pPr>
      <w:r>
        <w:rPr>
          <w:b/>
        </w:rPr>
        <w:t xml:space="preserve">☐ </w:t>
      </w:r>
      <w:r>
        <w:t>Disable the Canvas Syllabus link and every unused navigation link.</w:t>
      </w:r>
    </w:p>
    <w:p>
      <w:pPr>
        <w:spacing w:after="40"/>
      </w:pPr>
      <w:r>
        <w:rPr>
          <w:b/>
        </w:rPr>
        <w:t xml:space="preserve">☐ </w:t>
      </w:r>
      <w:r>
        <w:t>Enable only tools used in the course, including Panopto, Class Collaborate, LockDown Browser, approved publisher tools, and NetTutor for 100% online courses when applicable.</w:t>
      </w:r>
    </w:p>
    <w:p>
      <w:pPr>
        <w:spacing w:after="40"/>
      </w:pPr>
      <w:r>
        <w:rPr>
          <w:b/>
        </w:rPr>
        <w:t xml:space="preserve">☐ </w:t>
      </w:r>
      <w:r>
        <w:t>Confirm the approved FTCC Canvas template banner appears.</w:t>
      </w:r>
    </w:p>
    <w:p>
      <w:pPr>
        <w:spacing w:after="40"/>
      </w:pPr>
      <w:r>
        <w:rPr>
          <w:b/>
        </w:rPr>
        <w:t xml:space="preserve">☐ </w:t>
      </w:r>
      <w:r>
        <w:t>Confirm Simple Syllabus is visible and accessible to students.</w:t>
      </w:r>
    </w:p>
    <w:p>
      <w:pPr>
        <w:spacing w:after="40"/>
      </w:pPr>
      <w:r>
        <w:rPr>
          <w:b/>
        </w:rPr>
        <w:t xml:space="preserve">☐ </w:t>
      </w:r>
      <w:r>
        <w:t>Set the grading scheme to match the approved syllabus grade scale.</w:t>
      </w:r>
    </w:p>
    <w:p>
      <w:pPr>
        <w:spacing w:after="40"/>
      </w:pPr>
      <w:r>
        <w:rPr>
          <w:b/>
        </w:rPr>
        <w:t xml:space="preserve">☐ </w:t>
      </w:r>
      <w:r>
        <w:t>Create assignment groups that match the syllabus categories.</w:t>
      </w:r>
    </w:p>
    <w:p>
      <w:pPr>
        <w:spacing w:after="40"/>
      </w:pPr>
      <w:r>
        <w:rPr>
          <w:b/>
        </w:rPr>
        <w:t xml:space="preserve">☐ </w:t>
      </w:r>
      <w:r>
        <w:t>Set assignment-group weights and confirm the total equals 100%.</w:t>
      </w:r>
    </w:p>
    <w:p>
      <w:pPr>
        <w:spacing w:after="40"/>
      </w:pPr>
      <w:r>
        <w:rPr>
          <w:b/>
        </w:rPr>
        <w:t xml:space="preserve">☐ </w:t>
      </w:r>
      <w:r>
        <w:t>Review missing and late policies before using them.</w:t>
      </w:r>
    </w:p>
    <w:p>
      <w:pPr>
        <w:spacing w:after="40"/>
      </w:pPr>
      <w:r>
        <w:rPr>
          <w:b/>
        </w:rPr>
        <w:t xml:space="preserve">☐ </w:t>
      </w:r>
      <w:r>
        <w:t>Set up the approved census activity according to FTCC directions.</w:t>
      </w:r>
    </w:p>
    <w:p>
      <w:pPr>
        <w:spacing w:after="40"/>
      </w:pPr>
      <w:r>
        <w:rPr>
          <w:b/>
        </w:rPr>
        <w:t xml:space="preserve">☐ </w:t>
      </w:r>
      <w:r>
        <w:t>Check copied content for old dates, duplicate items, and obsolete links.</w:t>
      </w:r>
    </w:p>
    <w:p>
      <w:pPr>
        <w:spacing w:after="40"/>
      </w:pPr>
      <w:r>
        <w:rPr>
          <w:b/>
        </w:rPr>
        <w:t xml:space="preserve">☐ </w:t>
      </w:r>
      <w:r>
        <w:t>Enter Student View and verify the navigation order, Simple Syllabus, starting point, and first required activity.</w:t>
      </w:r>
    </w:p>
    <w:p>
      <w:pPr>
        <w:pStyle w:val="Heading2"/>
        <w:spacing w:before="100" w:after="60"/>
      </w:pPr>
      <w:r>
        <w:t>Navigation decision rule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Keep visible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Show only when used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Hide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Home, Announcements, Simple Syllabus, Modules, Grades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Panopto, Class Collaborate, LockDown Browser, approved tools, NetTutor when required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Canvas Syllabus and all unused tools</w:t>
            </w:r>
          </w:p>
        </w:tc>
      </w:tr>
    </w:tbl>
    <w:p>
      <w:pPr>
        <w:pStyle w:val="Heading2"/>
        <w:spacing w:before="100" w:after="60"/>
      </w:pPr>
      <w:r>
        <w:t>Official resources</w:t>
      </w:r>
    </w:p>
    <w:p>
      <w:pPr>
        <w:spacing w:after="20"/>
      </w:pPr>
      <w:hyperlink r:id="rId11">
        <w:r>
          <w:rPr>
            <w:color w:val="0B5F82"/>
            <w:u w:val="single"/>
          </w:rPr>
          <w:t>Course Navigation</w:t>
        </w:r>
      </w:hyperlink>
      <w:r>
        <w:t xml:space="preserve"> (external)</w:t>
      </w:r>
    </w:p>
    <w:p>
      <w:pPr>
        <w:spacing w:after="20"/>
      </w:pPr>
      <w:hyperlink r:id="rId12">
        <w:r>
          <w:rPr>
            <w:color w:val="0B5F82"/>
            <w:u w:val="single"/>
          </w:rPr>
          <w:t>Assignment groups</w:t>
        </w:r>
      </w:hyperlink>
      <w:r>
        <w:t xml:space="preserve"> (external)</w:t>
      </w:r>
    </w:p>
    <w:p>
      <w:pPr>
        <w:spacing w:after="20"/>
      </w:pPr>
      <w:hyperlink r:id="rId13">
        <w:r>
          <w:rPr>
            <w:color w:val="0B5F82"/>
            <w:u w:val="single"/>
          </w:rPr>
          <w:t>Weighted grades</w:t>
        </w:r>
      </w:hyperlink>
      <w:r>
        <w:t xml:space="preserve"> (external)</w:t>
      </w:r>
    </w:p>
    <w:p>
      <w:pPr>
        <w:spacing w:after="20"/>
      </w:pPr>
      <w:hyperlink r:id="rId14">
        <w:r>
          <w:rPr>
            <w:color w:val="0B5F82"/>
            <w:u w:val="single"/>
          </w:rPr>
          <w:t>Student View</w:t>
        </w:r>
      </w:hyperlink>
      <w:r>
        <w:t xml:space="preserve"> (external)</w:t>
      </w:r>
    </w:p>
    <w:p>
      <w:pPr>
        <w:pStyle w:val="Heading2"/>
        <w:spacing w:before="100" w:after="60"/>
      </w:pPr>
      <w:r>
        <w:t>Guidde-ready recording script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Scene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On-screen action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Voiceover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1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the course and select Settings.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Begin in the correct FTCC course and term.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2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Select Navigation.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Place the five required links in the approved order.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3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Move unused links below the divider.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Disable the Canvas Syllabus link and other unused tools.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4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Select Course Details.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Review dates, visibility, and grading scheme.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5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Assignments.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Confirm assignment groups and weights match the syllabus.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6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Enter Student View.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Verify the student-facing navigation and starting point.</w:t>
            </w:r>
          </w:p>
        </w:tc>
      </w:tr>
    </w:tbl>
    <w:p>
      <w:pPr>
        <w:pStyle w:val="Title"/>
        <w:spacing w:after="40"/>
      </w:pPr>
      <w:r>
        <w:t>Student Starting Point Map</w:t>
      </w:r>
    </w:p>
    <w:p>
      <w:pPr>
        <w:spacing w:after="160"/>
      </w:pPr>
      <w:r>
        <w:rPr>
          <w:color w:val="53565A"/>
          <w:sz w:val="22"/>
        </w:rPr>
        <w:t>Build one unmistakable path from course entry to Module 1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8F2F6"/>
            <w:vAlign w:val="center"/>
          </w:tcPr>
          <w:p>
            <w:r/>
            <w:r>
              <w:rPr>
                <w:rFonts w:ascii="Arial" w:hAnsi="Arial"/>
                <w:b/>
                <w:color w:val="000000"/>
                <w:sz w:val="18"/>
              </w:rPr>
              <w:t>FTCC NOTE: This resource follows the workshop checklist. It does not include Classic Quizzes or Canvas-integrated AI features.</w:t>
            </w:r>
          </w:p>
        </w:tc>
      </w:tr>
    </w:tbl>
    <w:p/>
    <w:p>
      <w:pPr>
        <w:pStyle w:val="Heading1"/>
        <w:spacing w:before="100" w:after="60"/>
      </w:pPr>
      <w:r>
        <w:t>The required student path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0B5F82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Course Home</w:t>
            </w:r>
          </w:p>
        </w:tc>
        <w:tc>
          <w:tcPr>
            <w:tcW w:type="dxa" w:w="2074"/>
            <w:shd w:fill="E8F2F6"/>
            <w:vAlign w:val="center"/>
          </w:tcPr>
          <w:p>
            <w:r/>
            <w:r>
              <w:rPr>
                <w:rFonts w:ascii="Arial" w:hAnsi="Arial"/>
                <w:b/>
                <w:color w:val="000000"/>
                <w:sz w:val="18"/>
              </w:rPr>
              <w:t>Welcome! Your Journey Begins Here!</w:t>
            </w:r>
          </w:p>
        </w:tc>
        <w:tc>
          <w:tcPr>
            <w:tcW w:type="dxa" w:w="2074"/>
            <w:shd w:fill="E8F2F6"/>
            <w:vAlign w:val="center"/>
          </w:tcPr>
          <w:p>
            <w:r/>
            <w:r>
              <w:rPr>
                <w:rFonts w:ascii="Arial" w:hAnsi="Arial"/>
                <w:b/>
                <w:color w:val="000000"/>
                <w:sz w:val="18"/>
              </w:rPr>
              <w:t>Simple Syllabus</w:t>
            </w:r>
          </w:p>
        </w:tc>
        <w:tc>
          <w:tcPr>
            <w:tcW w:type="dxa" w:w="2074"/>
            <w:shd w:fill="E8F2F6"/>
            <w:vAlign w:val="center"/>
          </w:tcPr>
          <w:p>
            <w:r/>
            <w:r>
              <w:rPr>
                <w:rFonts w:ascii="Arial" w:hAnsi="Arial"/>
                <w:b/>
                <w:color w:val="000000"/>
                <w:sz w:val="18"/>
              </w:rPr>
              <w:t>Course Entry Quiz</w:t>
            </w:r>
          </w:p>
        </w:tc>
        <w:tc>
          <w:tcPr>
            <w:tcW w:type="dxa" w:w="2074"/>
            <w:shd w:fill="0B5F82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Module 1</w:t>
            </w:r>
          </w:p>
        </w:tc>
      </w:tr>
    </w:tbl>
    <w:p>
      <w:pPr>
        <w:pStyle w:val="Heading1"/>
        <w:spacing w:before="100" w:after="60"/>
      </w:pPr>
      <w:r>
        <w:t>What belongs at each point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Location</w:t>
            </w:r>
          </w:p>
        </w:tc>
        <w:tc>
          <w:tcPr>
            <w:tcW w:type="dxa" w:w="5184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Faculty check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Course Home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Welcome, where to begin, first required action, key date, support path.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Welcome module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Start Here directions, instructor welcome, About Your Instructor, materials, technology, support, syllabus access.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Simple Syllabus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The current approved syllabus through the required navigation link.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Course Entry Quiz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The FTCC-approved Commons resource in a module titled “Course Entry Quiz.”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Module 1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Overview, MLOs, learning content, activities/assessments, and wrap-up.</w:t>
            </w:r>
          </w:p>
        </w:tc>
      </w:tr>
    </w:tbl>
    <w:p>
      <w:pPr>
        <w:pStyle w:val="Heading2"/>
        <w:spacing w:before="100" w:after="60"/>
      </w:pPr>
      <w:r>
        <w:t>Student View test</w:t>
      </w:r>
    </w:p>
    <w:p>
      <w:pPr>
        <w:spacing w:after="40"/>
      </w:pPr>
      <w:r>
        <w:rPr>
          <w:b/>
        </w:rPr>
        <w:t xml:space="preserve">☐ </w:t>
      </w:r>
      <w:r>
        <w:t>Start on the Home page without using instructor-only shortcuts.</w:t>
      </w:r>
    </w:p>
    <w:p>
      <w:pPr>
        <w:spacing w:after="40"/>
      </w:pPr>
      <w:r>
        <w:rPr>
          <w:b/>
        </w:rPr>
        <w:t xml:space="preserve">☐ </w:t>
      </w:r>
      <w:r>
        <w:t>Identify the first action in fewer than 10 seconds.</w:t>
      </w:r>
    </w:p>
    <w:p>
      <w:pPr>
        <w:spacing w:after="40"/>
      </w:pPr>
      <w:r>
        <w:rPr>
          <w:b/>
        </w:rPr>
        <w:t xml:space="preserve">☐ </w:t>
      </w:r>
      <w:r>
        <w:t>Reach Simple Syllabus from Course Navigation.</w:t>
      </w:r>
    </w:p>
    <w:p>
      <w:pPr>
        <w:spacing w:after="40"/>
      </w:pPr>
      <w:r>
        <w:rPr>
          <w:b/>
        </w:rPr>
        <w:t xml:space="preserve">☐ </w:t>
      </w:r>
      <w:r>
        <w:t>Open and complete the Course Entry Quiz path.</w:t>
      </w:r>
    </w:p>
    <w:p>
      <w:pPr>
        <w:spacing w:after="40"/>
      </w:pPr>
      <w:r>
        <w:rPr>
          <w:b/>
        </w:rPr>
        <w:t xml:space="preserve">☐ </w:t>
      </w:r>
      <w:r>
        <w:t>Confirm Module 1 is unavailable before the required completion when locking is used.</w:t>
      </w:r>
    </w:p>
    <w:p>
      <w:pPr>
        <w:spacing w:after="40"/>
      </w:pPr>
      <w:r>
        <w:rPr>
          <w:b/>
        </w:rPr>
        <w:t xml:space="preserve">☐ </w:t>
      </w:r>
      <w:r>
        <w:t>Confirm Module 1 opens after the prerequisite is satisfied.</w:t>
      </w:r>
    </w:p>
    <w:p>
      <w:pPr>
        <w:spacing w:after="40"/>
      </w:pPr>
      <w:r>
        <w:rPr>
          <w:b/>
        </w:rPr>
        <w:t xml:space="preserve">☐ </w:t>
      </w:r>
      <w:r>
        <w:t>Check that no second page or announcement gives conflicting start directions.</w:t>
      </w:r>
    </w:p>
    <w:p>
      <w:pPr>
        <w:pStyle w:val="Heading2"/>
        <w:spacing w:before="100" w:after="60"/>
      </w:pPr>
      <w:r>
        <w:t>Official resources</w:t>
      </w:r>
    </w:p>
    <w:p>
      <w:pPr>
        <w:spacing w:after="20"/>
      </w:pPr>
      <w:hyperlink r:id="rId11">
        <w:r>
          <w:rPr>
            <w:color w:val="0B5F82"/>
            <w:u w:val="single"/>
          </w:rPr>
          <w:t>Student View</w:t>
        </w:r>
      </w:hyperlink>
      <w:r>
        <w:t xml:space="preserve"> (external)</w:t>
      </w:r>
    </w:p>
    <w:p>
      <w:pPr>
        <w:spacing w:after="20"/>
      </w:pPr>
      <w:hyperlink r:id="rId12">
        <w:r>
          <w:rPr>
            <w:color w:val="0B5F82"/>
            <w:u w:val="single"/>
          </w:rPr>
          <w:t>Module requirements</w:t>
        </w:r>
      </w:hyperlink>
      <w:r>
        <w:t xml:space="preserve"> (external)</w:t>
      </w:r>
    </w:p>
    <w:p>
      <w:pPr>
        <w:spacing w:after="20"/>
      </w:pPr>
      <w:hyperlink r:id="rId13">
        <w:r>
          <w:rPr>
            <w:color w:val="0B5F82"/>
            <w:u w:val="single"/>
          </w:rPr>
          <w:t>Module prerequisites</w:t>
        </w:r>
      </w:hyperlink>
      <w:r>
        <w:t xml:space="preserve"> (external)</w:t>
      </w:r>
    </w:p>
    <w:p>
      <w:pPr>
        <w:pStyle w:val="Heading2"/>
        <w:spacing w:before="100" w:after="60"/>
      </w:pPr>
      <w:r>
        <w:t>Guidde-ready recording script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Scene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On-screen action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Voiceover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1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the course Home page.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Show the single place students should begin.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2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Modules.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Move the Welcome module to the top.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3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the Welcome module items.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Confirm the instructor welcome, syllabus access, support, and first action.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4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the Course Entry Quiz module.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Confirm the approved quiz is present and published.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5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Enter Student View.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Follow the student path without instructor shortcuts.</w:t>
            </w:r>
          </w:p>
        </w:tc>
      </w:tr>
    </w:tbl>
    <w:p>
      <w:pPr>
        <w:pStyle w:val="Title"/>
        <w:spacing w:after="40"/>
      </w:pPr>
      <w:r>
        <w:t>Modules, Requirements, and Prerequisites</w:t>
      </w:r>
    </w:p>
    <w:p>
      <w:pPr>
        <w:spacing w:after="160"/>
      </w:pPr>
      <w:r>
        <w:rPr>
          <w:color w:val="53565A"/>
          <w:sz w:val="22"/>
        </w:rPr>
        <w:t>Set up the Course Entry Quiz gate and the eight-module learning path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8F2F6"/>
            <w:vAlign w:val="center"/>
          </w:tcPr>
          <w:p>
            <w:r/>
            <w:r>
              <w:rPr>
                <w:rFonts w:ascii="Arial" w:hAnsi="Arial"/>
                <w:b/>
                <w:color w:val="000000"/>
                <w:sz w:val="18"/>
              </w:rPr>
              <w:t>FTCC NOTE: This resource follows the workshop checklist. It does not include Classic Quizzes or Canvas-integrated AI features.</w:t>
            </w:r>
          </w:p>
        </w:tc>
      </w:tr>
    </w:tbl>
    <w:p/>
    <w:p>
      <w:pPr>
        <w:pStyle w:val="Heading1"/>
        <w:spacing w:before="100" w:after="60"/>
      </w:pPr>
      <w:r>
        <w:t>Three different controls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Control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What it does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FTCC use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Requirement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Defines what students must do inside a module.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Require completion of the Course Entry Quiz item.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Prerequisite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Requires completion of another module first.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Set the Course Entry Quiz module as the prerequisite for Modules 1-8 when required.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Unlock date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Opens a module on a specified date.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Use only when the course schedule requires a timed release.</w:t>
            </w:r>
          </w:p>
        </w:tc>
      </w:tr>
    </w:tbl>
    <w:p>
      <w:pPr>
        <w:pStyle w:val="Heading1"/>
        <w:spacing w:before="100" w:after="60"/>
      </w:pPr>
      <w:r>
        <w:t>Setup sequence</w:t>
      </w:r>
    </w:p>
    <w:p>
      <w:pPr>
        <w:pStyle w:val="ListNumber"/>
        <w:spacing w:after="20"/>
        <w:ind w:left="317"/>
      </w:pPr>
      <w:r>
        <w:t>Create a module titled “Course Entry Quiz.”</w:t>
      </w:r>
    </w:p>
    <w:p>
      <w:pPr>
        <w:pStyle w:val="ListNumber"/>
        <w:spacing w:after="20"/>
        <w:ind w:left="317"/>
      </w:pPr>
      <w:r>
        <w:t>Add the FTCC-approved Course Entry Quiz from Canvas Commons.</w:t>
      </w:r>
    </w:p>
    <w:p>
      <w:pPr>
        <w:pStyle w:val="ListNumber"/>
        <w:spacing w:after="20"/>
        <w:ind w:left="317"/>
      </w:pPr>
      <w:r>
        <w:t>Open the module settings and add a completion requirement for the quiz.</w:t>
      </w:r>
    </w:p>
    <w:p>
      <w:pPr>
        <w:pStyle w:val="ListNumber"/>
        <w:spacing w:after="20"/>
        <w:ind w:left="317"/>
      </w:pPr>
      <w:r>
        <w:t>Choose the completion condition specified by FTCC directions.</w:t>
      </w:r>
    </w:p>
    <w:p>
      <w:pPr>
        <w:pStyle w:val="ListNumber"/>
        <w:spacing w:after="20"/>
        <w:ind w:left="317"/>
      </w:pPr>
      <w:r>
        <w:t>Open Module 1 settings and add the Course Entry Quiz module as a prerequisite.</w:t>
      </w:r>
    </w:p>
    <w:p>
      <w:pPr>
        <w:pStyle w:val="ListNumber"/>
        <w:spacing w:after="20"/>
        <w:ind w:left="317"/>
      </w:pPr>
      <w:r>
        <w:t>Repeat the prerequisite for Modules 2-8 when all instructional modules must remain locked until completion.</w:t>
      </w:r>
    </w:p>
    <w:p>
      <w:pPr>
        <w:pStyle w:val="ListNumber"/>
        <w:spacing w:after="20"/>
        <w:ind w:left="317"/>
      </w:pPr>
      <w:r>
        <w:t>Publish the Course Entry Quiz module, the quiz, each instructional module, and every required item.</w:t>
      </w:r>
    </w:p>
    <w:p>
      <w:pPr>
        <w:pStyle w:val="ListNumber"/>
        <w:spacing w:after="20"/>
        <w:ind w:left="317"/>
      </w:pPr>
      <w:r>
        <w:t>Test the locked and unlocked states in Student View.</w:t>
      </w:r>
    </w:p>
    <w:p>
      <w:pPr>
        <w:pStyle w:val="Heading2"/>
        <w:spacing w:before="100" w:after="60"/>
      </w:pPr>
      <w:r>
        <w:t>Publication chain</w:t>
      </w:r>
    </w:p>
    <w:p>
      <w:pPr>
        <w:spacing w:after="40"/>
      </w:pPr>
      <w:r>
        <w:rPr>
          <w:b/>
        </w:rPr>
        <w:t xml:space="preserve">☐ </w:t>
      </w:r>
      <w:r>
        <w:t>Course is published when appropriate.</w:t>
      </w:r>
    </w:p>
    <w:p>
      <w:pPr>
        <w:spacing w:after="40"/>
      </w:pPr>
      <w:r>
        <w:rPr>
          <w:b/>
        </w:rPr>
        <w:t xml:space="preserve">☐ </w:t>
      </w:r>
      <w:r>
        <w:t>Course Entry Quiz module is published.</w:t>
      </w:r>
    </w:p>
    <w:p>
      <w:pPr>
        <w:spacing w:after="40"/>
      </w:pPr>
      <w:r>
        <w:rPr>
          <w:b/>
        </w:rPr>
        <w:t xml:space="preserve">☐ </w:t>
      </w:r>
      <w:r>
        <w:t>Course Entry Quiz item is published.</w:t>
      </w:r>
    </w:p>
    <w:p>
      <w:pPr>
        <w:spacing w:after="40"/>
      </w:pPr>
      <w:r>
        <w:rPr>
          <w:b/>
        </w:rPr>
        <w:t xml:space="preserve">☐ </w:t>
      </w:r>
      <w:r>
        <w:t>Instructional module is published.</w:t>
      </w:r>
    </w:p>
    <w:p>
      <w:pPr>
        <w:spacing w:after="40"/>
      </w:pPr>
      <w:r>
        <w:rPr>
          <w:b/>
        </w:rPr>
        <w:t xml:space="preserve">☐ </w:t>
      </w:r>
      <w:r>
        <w:t>Every required item inside the module is published.</w:t>
      </w:r>
    </w:p>
    <w:p>
      <w:pPr>
        <w:spacing w:after="40"/>
      </w:pPr>
      <w:r>
        <w:rPr>
          <w:b/>
        </w:rPr>
        <w:t xml:space="preserve">☐ </w:t>
      </w:r>
      <w:r>
        <w:t>Dates and file permissions allow access.</w:t>
      </w:r>
    </w:p>
    <w:p>
      <w:pPr>
        <w:spacing w:after="40"/>
      </w:pPr>
      <w:r>
        <w:rPr>
          <w:b/>
        </w:rPr>
        <w:t xml:space="preserve">☐ </w:t>
      </w:r>
      <w:r>
        <w:t>Prerequisite points to the correct module.</w:t>
      </w:r>
    </w:p>
    <w:p>
      <w:pPr>
        <w:pStyle w:val="Heading2"/>
        <w:spacing w:before="100" w:after="60"/>
      </w:pPr>
      <w:r>
        <w:t>Official resources</w:t>
      </w:r>
    </w:p>
    <w:p>
      <w:pPr>
        <w:spacing w:after="20"/>
      </w:pPr>
      <w:hyperlink r:id="rId11">
        <w:r>
          <w:rPr>
            <w:color w:val="0B5F82"/>
            <w:u w:val="single"/>
          </w:rPr>
          <w:t>Module requirements</w:t>
        </w:r>
      </w:hyperlink>
      <w:r>
        <w:t xml:space="preserve"> (external)</w:t>
      </w:r>
    </w:p>
    <w:p>
      <w:pPr>
        <w:spacing w:after="20"/>
      </w:pPr>
      <w:hyperlink r:id="rId12">
        <w:r>
          <w:rPr>
            <w:color w:val="0B5F82"/>
            <w:u w:val="single"/>
          </w:rPr>
          <w:t>Module prerequisites</w:t>
        </w:r>
      </w:hyperlink>
      <w:r>
        <w:t xml:space="preserve"> (external)</w:t>
      </w:r>
    </w:p>
    <w:p>
      <w:pPr>
        <w:spacing w:after="20"/>
      </w:pPr>
      <w:hyperlink r:id="rId13">
        <w:r>
          <w:rPr>
            <w:color w:val="0B5F82"/>
            <w:u w:val="single"/>
          </w:rPr>
          <w:t>Student View</w:t>
        </w:r>
      </w:hyperlink>
      <w:r>
        <w:t xml:space="preserve"> (external)</w:t>
      </w:r>
    </w:p>
    <w:p>
      <w:pPr>
        <w:pStyle w:val="Heading2"/>
        <w:spacing w:before="100" w:after="60"/>
      </w:pPr>
      <w:r>
        <w:t>Guidde-ready recording script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Scene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On-screen action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Voiceover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1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Modules and select the Course Entry Quiz module menu.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Add the rule that defines module completion.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2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Choose Edit and add a requirement.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Select the Course Entry Quiz and the required completion condition.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3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Module 1 settings.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Add the Course Entry Quiz module as a prerequisite.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4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Repeat for Modules 2 through 8.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Apply the approved prerequisite pattern consistently.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5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Enter Student View.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Verify the locked state, complete the entry step, and verify access.</w:t>
            </w:r>
          </w:p>
        </w:tc>
      </w:tr>
    </w:tbl>
    <w:p>
      <w:pPr>
        <w:pStyle w:val="Title"/>
        <w:spacing w:after="40"/>
      </w:pPr>
      <w:r>
        <w:t>Canvas Dates Decoder</w:t>
      </w:r>
    </w:p>
    <w:p>
      <w:pPr>
        <w:spacing w:after="160"/>
      </w:pPr>
      <w:r>
        <w:rPr>
          <w:color w:val="53565A"/>
          <w:sz w:val="22"/>
        </w:rPr>
        <w:t>Know which date sets expectations and which date controls access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8F2F6"/>
            <w:vAlign w:val="center"/>
          </w:tcPr>
          <w:p>
            <w:r/>
            <w:r>
              <w:rPr>
                <w:rFonts w:ascii="Arial" w:hAnsi="Arial"/>
                <w:b/>
                <w:color w:val="000000"/>
                <w:sz w:val="18"/>
              </w:rPr>
              <w:t>FTCC NOTE: This resource follows the workshop checklist. It does not include Classic Quizzes or Canvas-integrated AI features.</w:t>
            </w:r>
          </w:p>
        </w:tc>
      </w:tr>
    </w:tbl>
    <w:p/>
    <w:p>
      <w:pPr>
        <w:pStyle w:val="Heading1"/>
        <w:spacing w:before="100" w:after="60"/>
      </w:pPr>
      <w:r>
        <w:t>Date settings at a glance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Setting</w:t>
            </w:r>
          </w:p>
        </w:tc>
        <w:tc>
          <w:tcPr>
            <w:tcW w:type="dxa" w:w="2592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Meaning</w:t>
            </w:r>
          </w:p>
        </w:tc>
        <w:tc>
          <w:tcPr>
            <w:tcW w:type="dxa" w:w="2592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Controls access?</w:t>
            </w:r>
          </w:p>
        </w:tc>
        <w:tc>
          <w:tcPr>
            <w:tcW w:type="dxa" w:w="2592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Faculty question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Due date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When work is expected.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No, not by itself.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When should students complete it?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Available from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Earliest access or submission time.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Yes.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When may students begin?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Until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Final access or submission time.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Yes.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When must access close?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Module unlock date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Date a module becomes available.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Yes.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When should this learning unit open?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Course dates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Overall course participation window.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Often, depending on settings.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When is the course generally active?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Section dates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Participation window for a specific section.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Can override course dates.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Does this section need different dates?</w:t>
            </w:r>
          </w:p>
        </w:tc>
      </w:tr>
    </w:tbl>
    <w:p>
      <w:pPr>
        <w:pStyle w:val="Heading1"/>
        <w:spacing w:before="100" w:after="60"/>
      </w:pPr>
      <w:r>
        <w:t>Examples</w:t>
      </w:r>
    </w:p>
    <w:p>
      <w:pPr>
        <w:pStyle w:val="ListBullet"/>
        <w:spacing w:after="20"/>
        <w:ind w:left="317"/>
      </w:pPr>
      <w:r>
        <w:t>A paper due Friday at 11:59 p.m. may remain available until Sunday if late submissions are accepted.</w:t>
      </w:r>
    </w:p>
    <w:p>
      <w:pPr>
        <w:pStyle w:val="ListBullet"/>
        <w:spacing w:after="20"/>
        <w:ind w:left="317"/>
      </w:pPr>
      <w:r>
        <w:t>An exam available from 8:00 a.m. until 10:00 a.m. closes at 10:00 a.m., even if the due date is later.</w:t>
      </w:r>
    </w:p>
    <w:p>
      <w:pPr>
        <w:pStyle w:val="ListBullet"/>
        <w:spacing w:after="20"/>
        <w:ind w:left="317"/>
      </w:pPr>
      <w:r>
        <w:t>A module unlock date can keep an entire module closed even when an item inside it has already opened.</w:t>
      </w:r>
    </w:p>
    <w:p>
      <w:pPr>
        <w:pStyle w:val="ListBullet"/>
        <w:spacing w:after="20"/>
        <w:ind w:left="317"/>
      </w:pPr>
      <w:r>
        <w:t>A student may still be blocked by a prerequisite even when all dates are open.</w:t>
      </w:r>
    </w:p>
    <w:p>
      <w:pPr>
        <w:pStyle w:val="Heading2"/>
        <w:spacing w:before="100" w:after="60"/>
      </w:pPr>
      <w:r>
        <w:t>Date check before publishing</w:t>
      </w:r>
    </w:p>
    <w:p>
      <w:pPr>
        <w:spacing w:after="40"/>
      </w:pPr>
      <w:r>
        <w:rPr>
          <w:b/>
        </w:rPr>
        <w:t xml:space="preserve">☐ </w:t>
      </w:r>
      <w:r>
        <w:t>The due date matches the syllabus and course schedule.</w:t>
      </w:r>
    </w:p>
    <w:p>
      <w:pPr>
        <w:spacing w:after="40"/>
      </w:pPr>
      <w:r>
        <w:rPr>
          <w:b/>
        </w:rPr>
        <w:t xml:space="preserve">☐ </w:t>
      </w:r>
      <w:r>
        <w:t>Available-from and until dates reflect the intended access window.</w:t>
      </w:r>
    </w:p>
    <w:p>
      <w:pPr>
        <w:spacing w:after="40"/>
      </w:pPr>
      <w:r>
        <w:rPr>
          <w:b/>
        </w:rPr>
        <w:t xml:space="preserve">☐ </w:t>
      </w:r>
      <w:r>
        <w:t>Module unlock dates do not conflict with item dates.</w:t>
      </w:r>
    </w:p>
    <w:p>
      <w:pPr>
        <w:spacing w:after="40"/>
      </w:pPr>
      <w:r>
        <w:rPr>
          <w:b/>
        </w:rPr>
        <w:t xml:space="preserve">☐ </w:t>
      </w:r>
      <w:r>
        <w:t>Course or section dates do not close access unexpectedly.</w:t>
      </w:r>
    </w:p>
    <w:p>
      <w:pPr>
        <w:spacing w:after="40"/>
      </w:pPr>
      <w:r>
        <w:rPr>
          <w:b/>
        </w:rPr>
        <w:t xml:space="preserve">☐ </w:t>
      </w:r>
      <w:r>
        <w:t>Copied items no longer contain dates from a prior term.</w:t>
      </w:r>
    </w:p>
    <w:p>
      <w:pPr>
        <w:spacing w:after="40"/>
      </w:pPr>
      <w:r>
        <w:rPr>
          <w:b/>
        </w:rPr>
        <w:t xml:space="preserve">☐ </w:t>
      </w:r>
      <w:r>
        <w:t>The student-facing wording explains any late-work expectation.</w:t>
      </w:r>
    </w:p>
    <w:p>
      <w:pPr>
        <w:pStyle w:val="Heading2"/>
        <w:spacing w:before="100" w:after="60"/>
      </w:pPr>
      <w:r>
        <w:t>Official resources</w:t>
      </w:r>
    </w:p>
    <w:p>
      <w:pPr>
        <w:spacing w:after="20"/>
      </w:pPr>
      <w:hyperlink r:id="rId11">
        <w:r>
          <w:rPr>
            <w:color w:val="0B5F82"/>
            <w:u w:val="single"/>
          </w:rPr>
          <w:t>Canvas Instructor Guide</w:t>
        </w:r>
      </w:hyperlink>
      <w:r>
        <w:t xml:space="preserve"> (external)</w:t>
      </w:r>
    </w:p>
    <w:p>
      <w:pPr>
        <w:spacing w:after="20"/>
      </w:pPr>
      <w:hyperlink r:id="rId12">
        <w:r>
          <w:rPr>
            <w:color w:val="0B5F82"/>
            <w:u w:val="single"/>
          </w:rPr>
          <w:t>Student View</w:t>
        </w:r>
      </w:hyperlink>
      <w:r>
        <w:t xml:space="preserve"> (external)</w:t>
      </w:r>
    </w:p>
    <w:p>
      <w:pPr>
        <w:pStyle w:val="Heading2"/>
        <w:spacing w:before="100" w:after="60"/>
      </w:pPr>
      <w:r>
        <w:t>Guidde-ready recording script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Scene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On-screen action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Voiceover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1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an assignment and select Edit.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Identify the due date as the expected completion date.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2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Show the Assign To area.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Compare due, available-from, and until dates.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3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the module settings.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Show how a module unlock date adds another access control.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4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Enter Student View.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Verify the dates from the student perspective.</w:t>
            </w:r>
          </w:p>
        </w:tc>
      </w:tr>
    </w:tbl>
    <w:p>
      <w:pPr>
        <w:pStyle w:val="Title"/>
        <w:spacing w:after="40"/>
      </w:pPr>
      <w:r>
        <w:t>Publish and Visibility Troubleshooter</w:t>
      </w:r>
    </w:p>
    <w:p>
      <w:pPr>
        <w:spacing w:after="160"/>
      </w:pPr>
      <w:r>
        <w:rPr>
          <w:color w:val="53565A"/>
          <w:sz w:val="22"/>
        </w:rPr>
        <w:t>Use this sequence when students say, “I cannot see it.”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8F2F6"/>
            <w:vAlign w:val="center"/>
          </w:tcPr>
          <w:p>
            <w:r/>
            <w:r>
              <w:rPr>
                <w:rFonts w:ascii="Arial" w:hAnsi="Arial"/>
                <w:b/>
                <w:color w:val="000000"/>
                <w:sz w:val="18"/>
              </w:rPr>
              <w:t>FTCC NOTE: This resource follows the workshop checklist. It does not include Classic Quizzes or Canvas-integrated AI features.</w:t>
            </w:r>
          </w:p>
        </w:tc>
      </w:tr>
    </w:tbl>
    <w:p/>
    <w:p>
      <w:pPr>
        <w:pStyle w:val="Heading1"/>
        <w:spacing w:before="100" w:after="60"/>
      </w:pPr>
      <w:r>
        <w:t>Check the visibility chain in order</w:t>
      </w:r>
    </w:p>
    <w:p>
      <w:pPr>
        <w:spacing w:after="40"/>
      </w:pPr>
      <w:r>
        <w:rPr>
          <w:b/>
        </w:rPr>
        <w:t xml:space="preserve">☐ </w:t>
      </w:r>
      <w:r>
        <w:t>Is the student in the correct course and section?</w:t>
      </w:r>
    </w:p>
    <w:p>
      <w:pPr>
        <w:spacing w:after="40"/>
      </w:pPr>
      <w:r>
        <w:rPr>
          <w:b/>
        </w:rPr>
        <w:t xml:space="preserve">☐ </w:t>
      </w:r>
      <w:r>
        <w:t>Is the course published and within the active course or section dates?</w:t>
      </w:r>
    </w:p>
    <w:p>
      <w:pPr>
        <w:spacing w:after="40"/>
      </w:pPr>
      <w:r>
        <w:rPr>
          <w:b/>
        </w:rPr>
        <w:t xml:space="preserve">☐ </w:t>
      </w:r>
      <w:r>
        <w:t>Is the Course Navigation path visible?</w:t>
      </w:r>
    </w:p>
    <w:p>
      <w:pPr>
        <w:spacing w:after="40"/>
      </w:pPr>
      <w:r>
        <w:rPr>
          <w:b/>
        </w:rPr>
        <w:t xml:space="preserve">☐ </w:t>
      </w:r>
      <w:r>
        <w:t>Is the parent module published?</w:t>
      </w:r>
    </w:p>
    <w:p>
      <w:pPr>
        <w:spacing w:after="40"/>
      </w:pPr>
      <w:r>
        <w:rPr>
          <w:b/>
        </w:rPr>
        <w:t xml:space="preserve">☐ </w:t>
      </w:r>
      <w:r>
        <w:t>Is the individual item published?</w:t>
      </w:r>
    </w:p>
    <w:p>
      <w:pPr>
        <w:spacing w:after="40"/>
      </w:pPr>
      <w:r>
        <w:rPr>
          <w:b/>
        </w:rPr>
        <w:t xml:space="preserve">☐ </w:t>
      </w:r>
      <w:r>
        <w:t>Are available-from, until, or unlock dates blocking access?</w:t>
      </w:r>
    </w:p>
    <w:p>
      <w:pPr>
        <w:spacing w:after="40"/>
      </w:pPr>
      <w:r>
        <w:rPr>
          <w:b/>
        </w:rPr>
        <w:t xml:space="preserve">☐ </w:t>
      </w:r>
      <w:r>
        <w:t>Is a module prerequisite incomplete?</w:t>
      </w:r>
    </w:p>
    <w:p>
      <w:pPr>
        <w:spacing w:after="40"/>
      </w:pPr>
      <w:r>
        <w:rPr>
          <w:b/>
        </w:rPr>
        <w:t xml:space="preserve">☐ </w:t>
      </w:r>
      <w:r>
        <w:t>Is the file published and accessible to course users?</w:t>
      </w:r>
    </w:p>
    <w:p>
      <w:pPr>
        <w:spacing w:after="40"/>
      </w:pPr>
      <w:r>
        <w:rPr>
          <w:b/>
        </w:rPr>
        <w:t xml:space="preserve">☐ </w:t>
      </w:r>
      <w:r>
        <w:t>Does the external tool launch for students?</w:t>
      </w:r>
    </w:p>
    <w:p>
      <w:pPr>
        <w:spacing w:after="40"/>
      </w:pPr>
      <w:r>
        <w:rPr>
          <w:b/>
        </w:rPr>
        <w:t xml:space="preserve">☐ </w:t>
      </w:r>
      <w:r>
        <w:t>Does the link work in Student View?</w:t>
      </w:r>
    </w:p>
    <w:p>
      <w:pPr>
        <w:pStyle w:val="Heading2"/>
        <w:spacing w:before="100" w:after="60"/>
      </w:pPr>
      <w:r>
        <w:t>What the eye icon does not prove</w:t>
      </w:r>
    </w:p>
    <w:p>
      <w:pPr>
        <w:pStyle w:val="ListBullet"/>
        <w:spacing w:after="20"/>
        <w:ind w:left="317"/>
      </w:pPr>
      <w:r>
        <w:t>A published item can remain hidden inside an unpublished module.</w:t>
      </w:r>
    </w:p>
    <w:p>
      <w:pPr>
        <w:pStyle w:val="ListBullet"/>
        <w:spacing w:after="20"/>
        <w:ind w:left="317"/>
      </w:pPr>
      <w:r>
        <w:t>A published module can contain unpublished items.</w:t>
      </w:r>
    </w:p>
    <w:p>
      <w:pPr>
        <w:pStyle w:val="ListBullet"/>
        <w:spacing w:after="20"/>
        <w:ind w:left="317"/>
      </w:pPr>
      <w:r>
        <w:t>A valid instructor link can fail for students because of permissions.</w:t>
      </w:r>
    </w:p>
    <w:p>
      <w:pPr>
        <w:pStyle w:val="ListBullet"/>
        <w:spacing w:after="20"/>
        <w:ind w:left="317"/>
      </w:pPr>
      <w:r>
        <w:t>An open date window does not override an incomplete prerequisite.</w:t>
      </w:r>
    </w:p>
    <w:p>
      <w:pPr>
        <w:pStyle w:val="ListBullet"/>
        <w:spacing w:after="20"/>
        <w:ind w:left="317"/>
      </w:pPr>
      <w:r>
        <w:t>A visible navigation link does not guarantee the tool or content is configured.</w:t>
      </w:r>
    </w:p>
    <w:p>
      <w:pPr>
        <w:pStyle w:val="Heading2"/>
        <w:spacing w:before="100" w:after="60"/>
      </w:pPr>
      <w:r>
        <w:t>Fast diagnosis table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Symptom</w:t>
            </w:r>
          </w:p>
        </w:tc>
        <w:tc>
          <w:tcPr>
            <w:tcW w:type="dxa" w:w="5184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Most likely checks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Entire module missing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Module publication, unlock date, prerequisite, course dates.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One item missing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Item publication, item dates, module placement.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File opens for instructor only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File availability and permissions.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Tool appears but will not launch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Tool configuration, enrollment, vendor login, browser restrictions.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Link gives unauthorized message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Student permissions, source location, copied-course link.</w:t>
            </w:r>
          </w:p>
        </w:tc>
      </w:tr>
    </w:tbl>
    <w:p>
      <w:pPr>
        <w:pStyle w:val="Heading2"/>
        <w:spacing w:before="100" w:after="60"/>
      </w:pPr>
      <w:r>
        <w:t>Official resources</w:t>
      </w:r>
    </w:p>
    <w:p>
      <w:pPr>
        <w:spacing w:after="20"/>
      </w:pPr>
      <w:hyperlink r:id="rId11">
        <w:r>
          <w:rPr>
            <w:color w:val="0B5F82"/>
            <w:u w:val="single"/>
          </w:rPr>
          <w:t>Student View</w:t>
        </w:r>
      </w:hyperlink>
      <w:r>
        <w:t xml:space="preserve"> (external)</w:t>
      </w:r>
    </w:p>
    <w:p>
      <w:pPr>
        <w:spacing w:after="20"/>
      </w:pPr>
      <w:hyperlink r:id="rId12">
        <w:r>
          <w:rPr>
            <w:color w:val="0B5F82"/>
            <w:u w:val="single"/>
          </w:rPr>
          <w:t>Link Validator</w:t>
        </w:r>
      </w:hyperlink>
      <w:r>
        <w:t xml:space="preserve"> (external)</w:t>
      </w:r>
    </w:p>
    <w:p>
      <w:pPr>
        <w:pStyle w:val="Heading2"/>
        <w:spacing w:before="100" w:after="60"/>
      </w:pPr>
      <w:r>
        <w:t>Guidde-ready recording script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Scene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On-screen action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Voiceover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1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Show a published item inside an unpublished module.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Explain why item publication alone is not enough.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2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Publish the parent module.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Check the next level of the visibility chain.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3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Review dates and prerequisites.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Show the controls that can still block access.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4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the linked file.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Verify student permissions.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5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Enter Student View and run Link Validator.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Confirm the complete student experience.</w:t>
            </w:r>
          </w:p>
        </w:tc>
      </w:tr>
    </w:tbl>
    <w:p>
      <w:pPr>
        <w:pStyle w:val="Title"/>
        <w:spacing w:after="40"/>
      </w:pPr>
      <w:r>
        <w:t>Assignment and New Quiz Setup Checklist</w:t>
      </w:r>
    </w:p>
    <w:p>
      <w:pPr>
        <w:spacing w:after="160"/>
      </w:pPr>
      <w:r>
        <w:rPr>
          <w:color w:val="53565A"/>
          <w:sz w:val="22"/>
        </w:rPr>
        <w:t>Configure the activity, place it in the learning path, and verify the student experience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8F2F6"/>
            <w:vAlign w:val="center"/>
          </w:tcPr>
          <w:p>
            <w:r/>
            <w:r>
              <w:rPr>
                <w:rFonts w:ascii="Arial" w:hAnsi="Arial"/>
                <w:b/>
                <w:color w:val="000000"/>
                <w:sz w:val="18"/>
              </w:rPr>
              <w:t>FTCC NOTE: This resource follows the workshop checklist. It does not include Classic Quizzes or Canvas-integrated AI features.</w:t>
            </w:r>
          </w:p>
        </w:tc>
      </w:tr>
    </w:tbl>
    <w:p/>
    <w:p>
      <w:pPr>
        <w:pStyle w:val="Heading1"/>
        <w:spacing w:before="100" w:after="60"/>
      </w:pPr>
      <w:r>
        <w:t>Every graded activity</w:t>
      </w:r>
    </w:p>
    <w:p>
      <w:pPr>
        <w:spacing w:after="40"/>
      </w:pPr>
      <w:r>
        <w:rPr>
          <w:b/>
        </w:rPr>
        <w:t xml:space="preserve">☐ </w:t>
      </w:r>
      <w:r>
        <w:t>Use a descriptive student-facing title.</w:t>
      </w:r>
    </w:p>
    <w:p>
      <w:pPr>
        <w:spacing w:after="40"/>
      </w:pPr>
      <w:r>
        <w:rPr>
          <w:b/>
        </w:rPr>
        <w:t xml:space="preserve">☐ </w:t>
      </w:r>
      <w:r>
        <w:t>State what students will do, submit, and receive.</w:t>
      </w:r>
    </w:p>
    <w:p>
      <w:pPr>
        <w:spacing w:after="40"/>
      </w:pPr>
      <w:r>
        <w:rPr>
          <w:b/>
        </w:rPr>
        <w:t xml:space="preserve">☐ </w:t>
      </w:r>
      <w:r>
        <w:t>Set points or the intended grading method.</w:t>
      </w:r>
    </w:p>
    <w:p>
      <w:pPr>
        <w:spacing w:after="40"/>
      </w:pPr>
      <w:r>
        <w:rPr>
          <w:b/>
        </w:rPr>
        <w:t xml:space="preserve">☐ </w:t>
      </w:r>
      <w:r>
        <w:t>Place the activity in the correct assignment group.</w:t>
      </w:r>
    </w:p>
    <w:p>
      <w:pPr>
        <w:spacing w:after="40"/>
      </w:pPr>
      <w:r>
        <w:rPr>
          <w:b/>
        </w:rPr>
        <w:t xml:space="preserve">☐ </w:t>
      </w:r>
      <w:r>
        <w:t>Choose the correct submission type.</w:t>
      </w:r>
    </w:p>
    <w:p>
      <w:pPr>
        <w:spacing w:after="40"/>
      </w:pPr>
      <w:r>
        <w:rPr>
          <w:b/>
        </w:rPr>
        <w:t xml:space="preserve">☐ </w:t>
      </w:r>
      <w:r>
        <w:t>Set attempts when applicable.</w:t>
      </w:r>
    </w:p>
    <w:p>
      <w:pPr>
        <w:spacing w:after="40"/>
      </w:pPr>
      <w:r>
        <w:rPr>
          <w:b/>
        </w:rPr>
        <w:t xml:space="preserve">☐ </w:t>
      </w:r>
      <w:r>
        <w:t>Set the due date and availability dates intentionally.</w:t>
      </w:r>
    </w:p>
    <w:p>
      <w:pPr>
        <w:spacing w:after="40"/>
      </w:pPr>
      <w:r>
        <w:rPr>
          <w:b/>
        </w:rPr>
        <w:t xml:space="preserve">☐ </w:t>
      </w:r>
      <w:r>
        <w:t>Attach and review the rubric when used.</w:t>
      </w:r>
    </w:p>
    <w:p>
      <w:pPr>
        <w:spacing w:after="40"/>
      </w:pPr>
      <w:r>
        <w:rPr>
          <w:b/>
        </w:rPr>
        <w:t xml:space="preserve">☐ </w:t>
      </w:r>
      <w:r>
        <w:t>Place the activity in the correct module.</w:t>
      </w:r>
    </w:p>
    <w:p>
      <w:pPr>
        <w:spacing w:after="40"/>
      </w:pPr>
      <w:r>
        <w:rPr>
          <w:b/>
        </w:rPr>
        <w:t xml:space="preserve">☐ </w:t>
      </w:r>
      <w:r>
        <w:t>Publish the activity and its parent module.</w:t>
      </w:r>
    </w:p>
    <w:p>
      <w:pPr>
        <w:spacing w:after="40"/>
      </w:pPr>
      <w:r>
        <w:rPr>
          <w:b/>
        </w:rPr>
        <w:t xml:space="preserve">☐ </w:t>
      </w:r>
      <w:r>
        <w:t>Preview or test the student experience.</w:t>
      </w:r>
    </w:p>
    <w:p>
      <w:pPr>
        <w:spacing w:after="40"/>
      </w:pPr>
      <w:r>
        <w:rPr>
          <w:b/>
        </w:rPr>
        <w:t xml:space="preserve">☐ </w:t>
      </w:r>
      <w:r>
        <w:t>Open SpeedGrader and confirm grading and feedback options.</w:t>
      </w:r>
    </w:p>
    <w:p>
      <w:pPr>
        <w:pStyle w:val="Heading1"/>
        <w:spacing w:before="100" w:after="60"/>
      </w:pPr>
      <w:r>
        <w:t>New Quizzes only</w:t>
      </w:r>
    </w:p>
    <w:p>
      <w:pPr>
        <w:spacing w:after="40"/>
      </w:pPr>
      <w:r>
        <w:rPr>
          <w:b/>
        </w:rPr>
        <w:t xml:space="preserve">☐ </w:t>
      </w:r>
      <w:r>
        <w:t>Create the assessment with New Quizzes.</w:t>
      </w:r>
    </w:p>
    <w:p>
      <w:pPr>
        <w:spacing w:after="40"/>
      </w:pPr>
      <w:r>
        <w:rPr>
          <w:b/>
        </w:rPr>
        <w:t xml:space="preserve">☐ </w:t>
      </w:r>
      <w:r>
        <w:t>Review instructions and overall settings before opening Build.</w:t>
      </w:r>
    </w:p>
    <w:p>
      <w:pPr>
        <w:spacing w:after="40"/>
      </w:pPr>
      <w:r>
        <w:rPr>
          <w:b/>
        </w:rPr>
        <w:t xml:space="preserve">☐ </w:t>
      </w:r>
      <w:r>
        <w:t>Give every question a meaningful internal title.</w:t>
      </w:r>
    </w:p>
    <w:p>
      <w:pPr>
        <w:spacing w:after="40"/>
      </w:pPr>
      <w:r>
        <w:rPr>
          <w:b/>
        </w:rPr>
        <w:t xml:space="preserve">☐ </w:t>
      </w:r>
      <w:r>
        <w:t>Choose a question type that matches the intended student action.</w:t>
      </w:r>
    </w:p>
    <w:p>
      <w:pPr>
        <w:spacing w:after="40"/>
      </w:pPr>
      <w:r>
        <w:rPr>
          <w:b/>
        </w:rPr>
        <w:t xml:space="preserve">☐ </w:t>
      </w:r>
      <w:r>
        <w:t>Review points, answers, feedback, and partial-credit behavior.</w:t>
      </w:r>
    </w:p>
    <w:p>
      <w:pPr>
        <w:spacing w:after="40"/>
      </w:pPr>
      <w:r>
        <w:rPr>
          <w:b/>
        </w:rPr>
        <w:t xml:space="preserve">☐ </w:t>
      </w:r>
      <w:r>
        <w:t>Use item banks intentionally and verify sharing or ownership.</w:t>
      </w:r>
    </w:p>
    <w:p>
      <w:pPr>
        <w:spacing w:after="40"/>
      </w:pPr>
      <w:r>
        <w:rPr>
          <w:b/>
        </w:rPr>
        <w:t xml:space="preserve">☐ </w:t>
      </w:r>
      <w:r>
        <w:t>Preview the quiz before publishing.</w:t>
      </w:r>
    </w:p>
    <w:p>
      <w:pPr>
        <w:spacing w:after="40"/>
      </w:pPr>
      <w:r>
        <w:rPr>
          <w:b/>
        </w:rPr>
        <w:t xml:space="preserve">☐ </w:t>
      </w:r>
      <w:r>
        <w:t>Confirm the quiz appears in the intended module and assignment group.</w:t>
      </w:r>
    </w:p>
    <w:p>
      <w:pPr>
        <w:pStyle w:val="Heading2"/>
        <w:spacing w:before="100" w:after="60"/>
      </w:pPr>
      <w:r>
        <w:t>Due date versus access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Use</w:t>
            </w:r>
          </w:p>
        </w:tc>
        <w:tc>
          <w:tcPr>
            <w:tcW w:type="dxa" w:w="5184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Setting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Tell students when it is expected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Due date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Prevent early access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Available from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Close access or submissions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Until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Control sequence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Module requirement or prerequisite</w:t>
            </w:r>
          </w:p>
        </w:tc>
      </w:tr>
    </w:tbl>
    <w:p>
      <w:pPr>
        <w:pStyle w:val="Heading2"/>
        <w:spacing w:before="100" w:after="60"/>
      </w:pPr>
      <w:r>
        <w:t>Official resources</w:t>
      </w:r>
    </w:p>
    <w:p>
      <w:pPr>
        <w:spacing w:after="20"/>
      </w:pPr>
      <w:hyperlink r:id="rId11">
        <w:r>
          <w:rPr>
            <w:color w:val="0B5F82"/>
            <w:u w:val="single"/>
          </w:rPr>
          <w:t>New Quizzes</w:t>
        </w:r>
      </w:hyperlink>
      <w:r>
        <w:t xml:space="preserve"> (external)</w:t>
      </w:r>
    </w:p>
    <w:p>
      <w:pPr>
        <w:spacing w:after="20"/>
      </w:pPr>
      <w:hyperlink r:id="rId12">
        <w:r>
          <w:rPr>
            <w:color w:val="0B5F82"/>
            <w:u w:val="single"/>
          </w:rPr>
          <w:t>Assignment groups</w:t>
        </w:r>
      </w:hyperlink>
      <w:r>
        <w:t xml:space="preserve"> (external)</w:t>
      </w:r>
    </w:p>
    <w:p>
      <w:pPr>
        <w:spacing w:after="20"/>
      </w:pPr>
      <w:hyperlink r:id="rId13">
        <w:r>
          <w:rPr>
            <w:color w:val="0B5F82"/>
            <w:u w:val="single"/>
          </w:rPr>
          <w:t>Weighted grades</w:t>
        </w:r>
      </w:hyperlink>
      <w:r>
        <w:t xml:space="preserve"> (external)</w:t>
      </w:r>
    </w:p>
    <w:p>
      <w:pPr>
        <w:spacing w:after="20"/>
      </w:pPr>
      <w:hyperlink r:id="rId14">
        <w:r>
          <w:rPr>
            <w:color w:val="0B5F82"/>
            <w:u w:val="single"/>
          </w:rPr>
          <w:t>Student View</w:t>
        </w:r>
      </w:hyperlink>
      <w:r>
        <w:t xml:space="preserve"> (external)</w:t>
      </w:r>
    </w:p>
    <w:p>
      <w:pPr>
        <w:pStyle w:val="Heading2"/>
        <w:spacing w:before="100" w:after="60"/>
      </w:pPr>
      <w:r>
        <w:t>Guidde-ready recording script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Scene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On-screen action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Voiceover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1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Assignments and create or edit an activity.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Check title, instructions, points, group, submission, attempts, and dates.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2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the rubric area.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Attach and review criteria before students submit.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3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For a New Quiz, open Build.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Review question titles, types, answers, points, and feedback.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4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Return to Modules.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Place and publish the activity in the student learning path.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5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Preview and open SpeedGrader.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Verify both the student and grading experiences.</w:t>
            </w:r>
          </w:p>
        </w:tc>
      </w:tr>
    </w:tbl>
    <w:p>
      <w:pPr>
        <w:pStyle w:val="Title"/>
        <w:spacing w:after="40"/>
      </w:pPr>
      <w:r>
        <w:t>FTCC Course Readiness Review</w:t>
      </w:r>
    </w:p>
    <w:p>
      <w:pPr>
        <w:spacing w:after="160"/>
      </w:pPr>
      <w:r>
        <w:rPr>
          <w:color w:val="53565A"/>
          <w:sz w:val="22"/>
        </w:rPr>
        <w:t>A reusable final check before students enter the course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8F2F6"/>
            <w:vAlign w:val="center"/>
          </w:tcPr>
          <w:p>
            <w:r/>
            <w:r>
              <w:rPr>
                <w:rFonts w:ascii="Arial" w:hAnsi="Arial"/>
                <w:b/>
                <w:color w:val="000000"/>
                <w:sz w:val="18"/>
              </w:rPr>
              <w:t>FTCC NOTE: This resource follows the workshop checklist. It does not include Classic Quizzes or Canvas-integrated AI features.</w:t>
            </w:r>
          </w:p>
        </w:tc>
      </w:tr>
    </w:tbl>
    <w:p/>
    <w:p>
      <w:pPr>
        <w:pStyle w:val="Heading1"/>
        <w:spacing w:before="100" w:after="60"/>
      </w:pPr>
      <w:r>
        <w:t>Course identity and access</w:t>
      </w:r>
    </w:p>
    <w:p>
      <w:pPr>
        <w:spacing w:after="40"/>
      </w:pPr>
      <w:r>
        <w:rPr>
          <w:b/>
        </w:rPr>
        <w:t xml:space="preserve">☐ </w:t>
      </w:r>
      <w:r>
        <w:t>Correct course and term confirmed.</w:t>
      </w:r>
    </w:p>
    <w:p>
      <w:pPr>
        <w:spacing w:after="40"/>
      </w:pPr>
      <w:r>
        <w:rPr>
          <w:b/>
        </w:rPr>
        <w:t xml:space="preserve">☐ </w:t>
      </w:r>
      <w:r>
        <w:t>Course and section dates reviewed.</w:t>
      </w:r>
    </w:p>
    <w:p>
      <w:pPr>
        <w:spacing w:after="40"/>
      </w:pPr>
      <w:r>
        <w:rPr>
          <w:b/>
        </w:rPr>
        <w:t xml:space="preserve">☐ </w:t>
      </w:r>
      <w:r>
        <w:t>Visibility and participation settings reviewed.</w:t>
      </w:r>
    </w:p>
    <w:p>
      <w:pPr>
        <w:spacing w:after="40"/>
      </w:pPr>
      <w:r>
        <w:rPr>
          <w:b/>
        </w:rPr>
        <w:t xml:space="preserve">☐ </w:t>
      </w:r>
      <w:r>
        <w:t>Required Course Navigation order confirmed.</w:t>
      </w:r>
    </w:p>
    <w:p>
      <w:pPr>
        <w:spacing w:after="40"/>
      </w:pPr>
      <w:r>
        <w:rPr>
          <w:b/>
        </w:rPr>
        <w:t xml:space="preserve">☐ </w:t>
      </w:r>
      <w:r>
        <w:t>Unused navigation links disabled.</w:t>
      </w:r>
    </w:p>
    <w:p>
      <w:pPr>
        <w:pStyle w:val="Heading1"/>
        <w:spacing w:before="100" w:after="60"/>
      </w:pPr>
      <w:r>
        <w:t>Required FTCC starting structure</w:t>
      </w:r>
    </w:p>
    <w:p>
      <w:pPr>
        <w:spacing w:after="40"/>
      </w:pPr>
      <w:r>
        <w:rPr>
          <w:b/>
        </w:rPr>
        <w:t xml:space="preserve">☐ </w:t>
      </w:r>
      <w:r>
        <w:t>FTCC template banner present.</w:t>
      </w:r>
    </w:p>
    <w:p>
      <w:pPr>
        <w:spacing w:after="40"/>
      </w:pPr>
      <w:r>
        <w:rPr>
          <w:b/>
        </w:rPr>
        <w:t xml:space="preserve">☐ </w:t>
      </w:r>
      <w:r>
        <w:t>Home page selected and current.</w:t>
      </w:r>
    </w:p>
    <w:p>
      <w:pPr>
        <w:spacing w:after="40"/>
      </w:pPr>
      <w:r>
        <w:rPr>
          <w:b/>
        </w:rPr>
        <w:t xml:space="preserve">☐ </w:t>
      </w:r>
      <w:r>
        <w:t>“Welcome! Your Journey Begins Here!” is the first module.</w:t>
      </w:r>
    </w:p>
    <w:p>
      <w:pPr>
        <w:spacing w:after="40"/>
      </w:pPr>
      <w:r>
        <w:rPr>
          <w:b/>
        </w:rPr>
        <w:t xml:space="preserve">☐ </w:t>
      </w:r>
      <w:r>
        <w:t>Instructor welcome and About Your Instructor are current.</w:t>
      </w:r>
    </w:p>
    <w:p>
      <w:pPr>
        <w:spacing w:after="40"/>
      </w:pPr>
      <w:r>
        <w:rPr>
          <w:b/>
        </w:rPr>
        <w:t xml:space="preserve">☐ </w:t>
      </w:r>
      <w:r>
        <w:t>Introductory video included where required and accessible.</w:t>
      </w:r>
    </w:p>
    <w:p>
      <w:pPr>
        <w:spacing w:after="40"/>
      </w:pPr>
      <w:r>
        <w:rPr>
          <w:b/>
        </w:rPr>
        <w:t xml:space="preserve">☐ </w:t>
      </w:r>
      <w:r>
        <w:t>Simple Syllabus is visible and opens correctly.</w:t>
      </w:r>
    </w:p>
    <w:p>
      <w:pPr>
        <w:spacing w:after="40"/>
      </w:pPr>
      <w:r>
        <w:rPr>
          <w:b/>
        </w:rPr>
        <w:t xml:space="preserve">☐ </w:t>
      </w:r>
      <w:r>
        <w:t>Course Entry Quiz module and approved quiz are present.</w:t>
      </w:r>
    </w:p>
    <w:p>
      <w:pPr>
        <w:spacing w:after="40"/>
      </w:pPr>
      <w:r>
        <w:rPr>
          <w:b/>
        </w:rPr>
        <w:t xml:space="preserve">☐ </w:t>
      </w:r>
      <w:r>
        <w:t>Opening announcement is current and identifies where to begin.</w:t>
      </w:r>
    </w:p>
    <w:p>
      <w:pPr>
        <w:pStyle w:val="Heading1"/>
        <w:spacing w:before="100" w:after="60"/>
      </w:pPr>
      <w:r>
        <w:t>Learning path and grading</w:t>
      </w:r>
    </w:p>
    <w:p>
      <w:pPr>
        <w:spacing w:after="40"/>
      </w:pPr>
      <w:r>
        <w:rPr>
          <w:b/>
        </w:rPr>
        <w:t xml:space="preserve">☐ </w:t>
      </w:r>
      <w:r>
        <w:t>Eight-module structure used when applicable.</w:t>
      </w:r>
    </w:p>
    <w:p>
      <w:pPr>
        <w:spacing w:after="40"/>
      </w:pPr>
      <w:r>
        <w:rPr>
          <w:b/>
        </w:rPr>
        <w:t xml:space="preserve">☐ </w:t>
      </w:r>
      <w:r>
        <w:t>Each module includes an overview, learning content, activities/assessments, and wrap-up.</w:t>
      </w:r>
    </w:p>
    <w:p>
      <w:pPr>
        <w:spacing w:after="40"/>
      </w:pPr>
      <w:r>
        <w:rPr>
          <w:b/>
        </w:rPr>
        <w:t xml:space="preserve">☐ </w:t>
      </w:r>
      <w:r>
        <w:t>Requirements, prerequisites, locks, and dates are intentional.</w:t>
      </w:r>
    </w:p>
    <w:p>
      <w:pPr>
        <w:spacing w:after="40"/>
      </w:pPr>
      <w:r>
        <w:rPr>
          <w:b/>
        </w:rPr>
        <w:t xml:space="preserve">☐ </w:t>
      </w:r>
      <w:r>
        <w:t>Modules and required items are published.</w:t>
      </w:r>
    </w:p>
    <w:p>
      <w:pPr>
        <w:spacing w:after="40"/>
      </w:pPr>
      <w:r>
        <w:rPr>
          <w:b/>
        </w:rPr>
        <w:t xml:space="preserve">☐ </w:t>
      </w:r>
      <w:r>
        <w:t>Assignment groups and weights match the syllabus and total 100%.</w:t>
      </w:r>
    </w:p>
    <w:p>
      <w:pPr>
        <w:spacing w:after="40"/>
      </w:pPr>
      <w:r>
        <w:rPr>
          <w:b/>
        </w:rPr>
        <w:t xml:space="preserve">☐ </w:t>
      </w:r>
      <w:r>
        <w:t>Grading scheme matches the syllabus.</w:t>
      </w:r>
    </w:p>
    <w:p>
      <w:pPr>
        <w:spacing w:after="40"/>
      </w:pPr>
      <w:r>
        <w:rPr>
          <w:b/>
        </w:rPr>
        <w:t xml:space="preserve">☐ </w:t>
      </w:r>
      <w:r>
        <w:t>Missing, late, and grade-posting policies are reviewed.</w:t>
      </w:r>
    </w:p>
    <w:p>
      <w:pPr>
        <w:pStyle w:val="Heading1"/>
        <w:spacing w:before="100" w:after="60"/>
      </w:pPr>
      <w:r>
        <w:t>Student experience and final verification</w:t>
      </w:r>
    </w:p>
    <w:p>
      <w:pPr>
        <w:spacing w:after="40"/>
      </w:pPr>
      <w:r>
        <w:rPr>
          <w:b/>
        </w:rPr>
        <w:t xml:space="preserve">☐ </w:t>
      </w:r>
      <w:r>
        <w:t>Files and links open for students.</w:t>
      </w:r>
    </w:p>
    <w:p>
      <w:pPr>
        <w:spacing w:after="40"/>
      </w:pPr>
      <w:r>
        <w:rPr>
          <w:b/>
        </w:rPr>
        <w:t xml:space="preserve">☐ </w:t>
      </w:r>
      <w:r>
        <w:t>External tools include access, login, cost, and support directions.</w:t>
      </w:r>
    </w:p>
    <w:p>
      <w:pPr>
        <w:spacing w:after="40"/>
      </w:pPr>
      <w:r>
        <w:rPr>
          <w:b/>
        </w:rPr>
        <w:t xml:space="preserve">☐ </w:t>
      </w:r>
      <w:r>
        <w:t>Accessibility Checker reviewed on key pages.</w:t>
      </w:r>
    </w:p>
    <w:p>
      <w:pPr>
        <w:spacing w:after="40"/>
      </w:pPr>
      <w:r>
        <w:rPr>
          <w:b/>
        </w:rPr>
        <w:t xml:space="preserve">☐ </w:t>
      </w:r>
      <w:r>
        <w:t>Link Validator run and every result reviewed.</w:t>
      </w:r>
    </w:p>
    <w:p>
      <w:pPr>
        <w:spacing w:after="40"/>
      </w:pPr>
      <w:r>
        <w:rPr>
          <w:b/>
        </w:rPr>
        <w:t xml:space="preserve">☐ </w:t>
      </w:r>
      <w:r>
        <w:t>Student View completed from Home through the first required activity.</w:t>
      </w:r>
    </w:p>
    <w:p>
      <w:pPr>
        <w:spacing w:after="40"/>
      </w:pPr>
      <w:r>
        <w:rPr>
          <w:b/>
        </w:rPr>
        <w:t xml:space="preserve">☐ </w:t>
      </w:r>
      <w:r>
        <w:t>At least one assignment or New Quiz previewed and checked in SpeedGrader.</w:t>
      </w:r>
    </w:p>
    <w:p>
      <w:pPr>
        <w:spacing w:after="40"/>
      </w:pPr>
      <w:r>
        <w:rPr>
          <w:b/>
        </w:rPr>
        <w:t xml:space="preserve">☐ </w:t>
      </w:r>
      <w:r>
        <w:t>Unresolved issues documented with next action, support contact, and target date.</w:t>
      </w:r>
    </w:p>
    <w:p>
      <w:pPr>
        <w:pStyle w:val="Heading2"/>
        <w:spacing w:before="100" w:after="60"/>
      </w:pPr>
      <w:r>
        <w:t>Official resources</w:t>
      </w:r>
    </w:p>
    <w:p>
      <w:pPr>
        <w:spacing w:after="20"/>
      </w:pPr>
      <w:hyperlink r:id="rId11">
        <w:r>
          <w:rPr>
            <w:color w:val="0B5F82"/>
            <w:u w:val="single"/>
          </w:rPr>
          <w:t>Link Validator</w:t>
        </w:r>
      </w:hyperlink>
      <w:r>
        <w:t xml:space="preserve"> (external)</w:t>
      </w:r>
    </w:p>
    <w:p>
      <w:pPr>
        <w:spacing w:after="20"/>
      </w:pPr>
      <w:hyperlink r:id="rId12">
        <w:r>
          <w:rPr>
            <w:color w:val="0B5F82"/>
            <w:u w:val="single"/>
          </w:rPr>
          <w:t>Student View</w:t>
        </w:r>
      </w:hyperlink>
      <w:r>
        <w:t xml:space="preserve"> (external)</w:t>
      </w:r>
    </w:p>
    <w:p>
      <w:pPr>
        <w:spacing w:after="20"/>
      </w:pPr>
      <w:hyperlink r:id="rId13">
        <w:r>
          <w:rPr>
            <w:color w:val="0B5F82"/>
            <w:u w:val="single"/>
          </w:rPr>
          <w:t>Accessibility</w:t>
        </w:r>
      </w:hyperlink>
      <w:r>
        <w:t xml:space="preserve"> (external)</w:t>
      </w:r>
    </w:p>
    <w:p>
      <w:pPr>
        <w:spacing w:after="20"/>
      </w:pPr>
      <w:hyperlink r:id="rId14">
        <w:r>
          <w:rPr>
            <w:color w:val="0B5F82"/>
            <w:u w:val="single"/>
          </w:rPr>
          <w:t>Panopto</w:t>
        </w:r>
      </w:hyperlink>
      <w:r>
        <w:t xml:space="preserve"> (external)</w:t>
      </w:r>
    </w:p>
    <w:p>
      <w:pPr>
        <w:pStyle w:val="Heading2"/>
        <w:spacing w:before="100" w:after="60"/>
      </w:pPr>
      <w:r>
        <w:t>Guidde-ready recording script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Scene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On-screen action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Voiceover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1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Begin on the Home page.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Follow the final readiness review in the same order students will enter the course.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2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Course Navigation and Settings.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Check required links, dates, visibility, grading, and tools.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3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Modules.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Verify the Welcome module, Course Entry Quiz, eight-module structure, publication, and sequence.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4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Run Link Validator.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Review every result instead of assuming every warning is an error.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5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Enter Student View.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Complete the final path through the first required activity.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6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Document unresolved items.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Record the next action, support contact, and target completion date.</w:t>
            </w:r>
          </w:p>
        </w:tc>
      </w:tr>
    </w:tbl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3565A"/>
        <w:sz w:val="16"/>
      </w:rPr>
      <w:t>Prepared for FTCC faculty | Angela Westmoreland, M.Ed. | New Quizzes only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3565A"/>
        <w:sz w:val="16"/>
      </w:rPr>
      <w:t>FTCC CANVAS COURSE LAUNCH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00000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5F82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