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/>
      </w:pPr>
      <w:r>
        <w:rPr>
          <w:rFonts w:ascii="Arial" w:hAnsi="Arial"/>
          <w:b/>
          <w:color w:val="000000"/>
          <w:sz w:val="54"/>
        </w:rPr>
        <w:t>Canvas Rubric Settings</w:t>
      </w:r>
    </w:p>
    <w:p>
      <w:pPr>
        <w:spacing w:before="0"/>
      </w:pPr>
      <w:r>
        <w:rPr>
          <w:b/>
          <w:color w:val="4298B5"/>
          <w:sz w:val="30"/>
        </w:rPr>
        <w:t>One-Page Decision Guide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368"/>
      </w:tblGrid>
      <w:tr>
        <w:tc>
          <w:tcPr>
            <w:tcW w:type="dxa" w:w="10368"/>
            <w:shd w:fill="F0B82D"/>
          </w:tcPr>
          <w:p>
            <w:r/>
          </w:p>
        </w:tc>
      </w:tr>
    </w:tbl>
    <w:p/>
    <w:p>
      <w:r>
        <w:t>Use this as a configuration aid. Confirm the exact labels and behavior in the institution's current Canvas environment.</w:t>
      </w:r>
    </w:p>
    <w:p>
      <w:pPr>
        <w:pStyle w:val="Heading2"/>
      </w:pPr>
      <w:r>
        <w:t>Use the rubric for assignment grading</w:t>
      </w:r>
    </w:p>
    <w:p>
      <w:pPr>
        <w:spacing w:after="20"/>
      </w:pPr>
      <w:r>
        <w:rPr>
          <w:b/>
        </w:rPr>
        <w:t xml:space="preserve">Choose when: </w:t>
      </w:r>
      <w:r>
        <w:t>Select when rubric selections should calculate or support the assignment grade.</w:t>
      </w:r>
    </w:p>
    <w:p>
      <w:pPr>
        <w:spacing w:after="80"/>
      </w:pPr>
      <w:r>
        <w:rPr>
          <w:b/>
        </w:rPr>
        <w:t xml:space="preserve">Verify: </w:t>
      </w:r>
      <w:r>
        <w:t>Check rubric total, assignment points, and the SpeedGrader grade field.</w:t>
      </w:r>
    </w:p>
    <w:p>
      <w:pPr>
        <w:pStyle w:val="Heading2"/>
      </w:pPr>
      <w:r>
        <w:t>Remove points from rubric</w:t>
      </w:r>
    </w:p>
    <w:p>
      <w:pPr>
        <w:spacing w:after="20"/>
      </w:pPr>
      <w:r>
        <w:rPr>
          <w:b/>
        </w:rPr>
        <w:t xml:space="preserve">Choose when: </w:t>
      </w:r>
      <w:r>
        <w:t>Select when the rubric is for descriptive feedback without a rubric total.</w:t>
      </w:r>
    </w:p>
    <w:p>
      <w:pPr>
        <w:spacing w:after="80"/>
      </w:pPr>
      <w:r>
        <w:rPr>
          <w:b/>
        </w:rPr>
        <w:t xml:space="preserve">Verify: </w:t>
      </w:r>
      <w:r>
        <w:t>Check where the assignment grade will be entered and what students see.</w:t>
      </w:r>
    </w:p>
    <w:p>
      <w:pPr>
        <w:pStyle w:val="Heading2"/>
      </w:pPr>
      <w:r>
        <w:t>Hide score total</w:t>
      </w:r>
    </w:p>
    <w:p>
      <w:pPr>
        <w:spacing w:after="20"/>
      </w:pPr>
      <w:r>
        <w:rPr>
          <w:b/>
        </w:rPr>
        <w:t xml:space="preserve">Choose when: </w:t>
      </w:r>
      <w:r>
        <w:t>Select when criterion-level feedback should appear without emphasizing a total.</w:t>
      </w:r>
    </w:p>
    <w:p>
      <w:pPr>
        <w:spacing w:after="80"/>
      </w:pPr>
      <w:r>
        <w:rPr>
          <w:b/>
        </w:rPr>
        <w:t xml:space="preserve">Verify: </w:t>
      </w:r>
      <w:r>
        <w:t>Check whether the assignment grade remains visible elsewhere.</w:t>
      </w:r>
    </w:p>
    <w:p>
      <w:pPr>
        <w:pStyle w:val="Heading2"/>
      </w:pPr>
      <w:r>
        <w:t>Free-form comments</w:t>
      </w:r>
    </w:p>
    <w:p>
      <w:pPr>
        <w:spacing w:after="20"/>
      </w:pPr>
      <w:r>
        <w:rPr>
          <w:b/>
        </w:rPr>
        <w:t xml:space="preserve">Choose when: </w:t>
      </w:r>
      <w:r>
        <w:t>Select when graders need flexible criterion-specific feedback.</w:t>
      </w:r>
    </w:p>
    <w:p>
      <w:pPr>
        <w:spacing w:after="80"/>
      </w:pPr>
      <w:r>
        <w:rPr>
          <w:b/>
        </w:rPr>
        <w:t xml:space="preserve">Verify: </w:t>
      </w:r>
      <w:r>
        <w:t>Check whether the grading workflow stays efficient and whether preset ratings behave differently.</w:t>
      </w:r>
    </w:p>
    <w:p>
      <w:pPr>
        <w:pStyle w:val="Heading2"/>
      </w:pPr>
      <w:r>
        <w:t>Student self-assessment</w:t>
      </w:r>
    </w:p>
    <w:p>
      <w:pPr>
        <w:spacing w:after="20"/>
      </w:pPr>
      <w:r>
        <w:rPr>
          <w:b/>
        </w:rPr>
        <w:t xml:space="preserve">Choose when: </w:t>
      </w:r>
      <w:r>
        <w:t>Use only when the feature is enabled in the institution's current Canvas environment.</w:t>
      </w:r>
    </w:p>
    <w:p>
      <w:pPr>
        <w:spacing w:after="80"/>
      </w:pPr>
      <w:r>
        <w:rPr>
          <w:b/>
        </w:rPr>
        <w:t xml:space="preserve">Verify: </w:t>
      </w:r>
      <w:r>
        <w:t>Verify when students can assess, what instructors can review, and whether the self-assessment affects the official grade.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368"/>
      </w:tblGrid>
      <w:tr>
        <w:tc>
          <w:tcPr>
            <w:tcW w:type="dxa" w:w="10368"/>
            <w:shd w:fill="F0B82D"/>
            <w:tcMar>
              <w:top w:w="110" w:type="dxa"/>
              <w:start w:w="130" w:type="dxa"/>
              <w:bottom w:w="110" w:type="dxa"/>
              <w:end w:w="130" w:type="dxa"/>
            </w:tcMar>
          </w:tcPr>
          <w:p>
            <w:r>
              <w:rPr>
                <w:b/>
                <w:color w:val="000000"/>
                <w:sz w:val="24"/>
              </w:rPr>
              <w:t>Always test: rubric result → assignment grade → student view</w:t>
            </w:r>
          </w:p>
        </w:tc>
      </w:tr>
    </w:tbl>
    <w:p>
      <w:r>
        <w:rPr>
          <w:b/>
        </w:rPr>
        <w:t xml:space="preserve">Observable completion evidence: </w:t>
      </w:r>
      <w:r>
        <w:t>the setting or SpeedGrader action is selected, tested, and documented in the participant workflow check.</w:t>
      </w:r>
    </w:p>
    <w:sectPr w:rsidR="00FC693F" w:rsidRPr="0006063C" w:rsidSect="00034616">
      <w:footerReference w:type="default" r:id="rId9"/>
      <w:pgSz w:w="12240" w:h="15840"/>
      <w:pgMar w:top="864" w:right="936" w:bottom="864" w:left="936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color w:val="53565A"/>
        <w:sz w:val="16"/>
      </w:rPr>
      <w:t xml:space="preserve">Rubrics Made Easy  |  </w:t>
      <w:fldChar w:fldCharType="begin"/>
      <w:instrText xml:space="preserve">PAGE</w:instrText>
      <w:fldChar w:fldCharType="end"/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Arial" w:hAnsi="Arial"/>
      <w:b/>
      <w:bCs/>
      <w:color w:val="000000"/>
      <w:sz w:val="3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Arial" w:hAnsi="Arial"/>
      <w:b/>
      <w:bCs/>
      <w:color w:val="4298B5"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 w:ascii="Arial" w:hAnsi="Arial"/>
      <w:b/>
      <w:bCs/>
      <w:color w:val="53565A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 w:ascii="Arial" w:hAnsi="Arial"/>
      <w:b/>
      <w:color w:val="000000"/>
      <w:spacing w:val="5"/>
      <w:kern w:val="28"/>
      <w:sz w:val="5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