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rFonts w:ascii="Arial" w:hAnsi="Arial"/>
          <w:b/>
          <w:color w:val="000000"/>
          <w:sz w:val="54"/>
        </w:rPr>
        <w:t>Canvas Rubrics in SpeedGrader</w:t>
      </w:r>
    </w:p>
    <w:p>
      <w:pPr>
        <w:spacing w:before="0"/>
      </w:pPr>
      <w:r>
        <w:rPr>
          <w:b/>
          <w:color w:val="4298B5"/>
          <w:sz w:val="30"/>
        </w:rPr>
        <w:t>One-Page Workflow Checklist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F0B82D"/>
          </w:tcPr>
          <w:p>
            <w:r/>
          </w:p>
        </w:tc>
      </w:tr>
    </w:tbl>
    <w:p/>
    <w:p>
      <w:pPr>
        <w:spacing w:after="60"/>
      </w:pPr>
      <w:r>
        <w:rPr>
          <w:color w:val="4298B5"/>
          <w:sz w:val="24"/>
        </w:rPr>
        <w:t xml:space="preserve">☐  </w:t>
      </w:r>
      <w:r>
        <w:t>Open the correct assignment or graded discussion in SpeedGrader.</w:t>
      </w:r>
    </w:p>
    <w:p>
      <w:pPr>
        <w:spacing w:after="60"/>
      </w:pPr>
      <w:r>
        <w:rPr>
          <w:color w:val="4298B5"/>
          <w:sz w:val="24"/>
        </w:rPr>
        <w:t xml:space="preserve">☐  </w:t>
      </w:r>
      <w:r>
        <w:t>Open or expand the attached rubric.</w:t>
      </w:r>
    </w:p>
    <w:p>
      <w:pPr>
        <w:spacing w:after="60"/>
      </w:pPr>
      <w:r>
        <w:rPr>
          <w:color w:val="4298B5"/>
          <w:sz w:val="24"/>
        </w:rPr>
        <w:t xml:space="preserve">☐  </w:t>
      </w:r>
      <w:r>
        <w:t>Select the intended rating or scale level for each criterion.</w:t>
      </w:r>
    </w:p>
    <w:p>
      <w:pPr>
        <w:spacing w:after="60"/>
      </w:pPr>
      <w:r>
        <w:rPr>
          <w:color w:val="4298B5"/>
          <w:sz w:val="24"/>
        </w:rPr>
        <w:t xml:space="preserve">☐  </w:t>
      </w:r>
      <w:r>
        <w:t>Enter a criterion score when the interface permits it.</w:t>
      </w:r>
    </w:p>
    <w:p>
      <w:pPr>
        <w:spacing w:after="60"/>
      </w:pPr>
      <w:r>
        <w:rPr>
          <w:color w:val="4298B5"/>
          <w:sz w:val="24"/>
        </w:rPr>
        <w:t xml:space="preserve">☐  </w:t>
      </w:r>
      <w:r>
        <w:t>Add concise criterion-level comments.</w:t>
      </w:r>
    </w:p>
    <w:p>
      <w:pPr>
        <w:spacing w:after="60"/>
      </w:pPr>
      <w:r>
        <w:rPr>
          <w:color w:val="4298B5"/>
          <w:sz w:val="24"/>
        </w:rPr>
        <w:t xml:space="preserve">☐  </w:t>
      </w:r>
      <w:r>
        <w:t>Review the rubric total or assessment result.</w:t>
      </w:r>
    </w:p>
    <w:p>
      <w:pPr>
        <w:spacing w:after="60"/>
      </w:pPr>
      <w:r>
        <w:rPr>
          <w:color w:val="4298B5"/>
          <w:sz w:val="24"/>
        </w:rPr>
        <w:t xml:space="preserve">☐  </w:t>
      </w:r>
      <w:r>
        <w:t>Save the rubric assessment.</w:t>
      </w:r>
    </w:p>
    <w:p>
      <w:pPr>
        <w:spacing w:after="60"/>
      </w:pPr>
      <w:r>
        <w:rPr>
          <w:color w:val="4298B5"/>
          <w:sz w:val="24"/>
        </w:rPr>
        <w:t xml:space="preserve">☐  </w:t>
      </w:r>
      <w:r>
        <w:t>Verify the assignment grade field before moving on.</w:t>
      </w:r>
    </w:p>
    <w:p>
      <w:pPr>
        <w:spacing w:after="60"/>
      </w:pPr>
      <w:r>
        <w:rPr>
          <w:color w:val="4298B5"/>
          <w:sz w:val="24"/>
        </w:rPr>
        <w:t xml:space="preserve">☐  </w:t>
      </w:r>
      <w:r>
        <w:t>Revise one criterion if needed and save again.</w:t>
      </w:r>
    </w:p>
    <w:p>
      <w:pPr>
        <w:spacing w:after="60"/>
      </w:pPr>
      <w:r>
        <w:rPr>
          <w:color w:val="4298B5"/>
          <w:sz w:val="24"/>
        </w:rPr>
        <w:t xml:space="preserve">☐  </w:t>
      </w:r>
      <w:r>
        <w:t>Confirm the student can see ratings, comments, and the intended score information.</w:t>
      </w:r>
    </w:p>
    <w:p>
      <w:pPr>
        <w:spacing w:after="60"/>
      </w:pPr>
      <w:r>
        <w:rPr>
          <w:color w:val="4298B5"/>
          <w:sz w:val="24"/>
        </w:rPr>
        <w:t xml:space="preserve">☐  </w:t>
      </w:r>
      <w:r>
        <w:t>Do not assume the rubric total and assignment grade are synchronized without testing.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F0B82D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b/>
                <w:color w:val="000000"/>
                <w:sz w:val="24"/>
              </w:rPr>
              <w:t>Final check</w:t>
            </w:r>
          </w:p>
        </w:tc>
      </w:tr>
    </w:tbl>
    <w:p>
      <w:r>
        <w:t>Rubric saved?  Assignment grade verified?  Student feedback visible?</w:t>
      </w:r>
    </w:p>
    <w:p>
      <w:r>
        <w:rPr>
          <w:b/>
        </w:rPr>
        <w:t xml:space="preserve">Observable completion evidence: </w:t>
      </w:r>
      <w:r>
        <w:t>the setting or SpeedGrader action is selected, tested, and documented in the participant workflow check.</w:t>
      </w:r>
    </w:p>
    <w:sectPr w:rsidR="00FC693F" w:rsidRPr="0006063C" w:rsidSect="00034616">
      <w:footerReference w:type="default" r:id="rId9"/>
      <w:pgSz w:w="12240" w:h="15840"/>
      <w:pgMar w:top="864" w:right="936" w:bottom="864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color w:val="53565A"/>
        <w:sz w:val="16"/>
      </w:rPr>
      <w:t xml:space="preserve">Rubrics Made Easy  |  </w:t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298B5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53565A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000000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